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8" w:lineRule="exact"/>
        <w:ind w:firstLine="601"/>
        <w:jc w:val="center"/>
        <w:rPr>
          <w:rFonts w:hint="eastAsia" w:ascii="方正小标宋_GBK" w:hAnsi="方正小标宋_GBK" w:eastAsia="方正小标宋_GBK" w:cs="方正小标宋_GBK"/>
          <w:i w:val="0"/>
          <w:color w:val="000000"/>
          <w:kern w:val="0"/>
          <w:sz w:val="40"/>
          <w:szCs w:val="40"/>
          <w:u w:val="none"/>
          <w:lang w:val="en-US" w:eastAsia="zh-CN" w:bidi="ar"/>
        </w:rPr>
      </w:pPr>
      <w:bookmarkStart w:id="0" w:name="_GoBack"/>
      <w:bookmarkEnd w:id="0"/>
    </w:p>
    <w:p>
      <w:pPr>
        <w:widowControl/>
        <w:spacing w:line="588" w:lineRule="exact"/>
        <w:ind w:firstLine="601"/>
        <w:jc w:val="center"/>
        <w:rPr>
          <w:rFonts w:hint="eastAsia" w:ascii="方正小标宋_GBK" w:hAnsi="方正小标宋_GBK" w:eastAsia="方正小标宋_GBK" w:cs="方正小标宋_GBK"/>
          <w:i w:val="0"/>
          <w:color w:val="000000"/>
          <w:kern w:val="0"/>
          <w:sz w:val="40"/>
          <w:szCs w:val="40"/>
          <w:u w:val="none"/>
          <w:lang w:val="en-US" w:eastAsia="zh-CN" w:bidi="ar"/>
        </w:rPr>
      </w:pPr>
      <w:r>
        <w:rPr>
          <w:rFonts w:hint="eastAsia" w:ascii="方正小标宋_GBK" w:hAnsi="方正小标宋_GBK" w:eastAsia="方正小标宋_GBK" w:cs="方正小标宋_GBK"/>
          <w:i w:val="0"/>
          <w:color w:val="000000"/>
          <w:kern w:val="0"/>
          <w:sz w:val="40"/>
          <w:szCs w:val="40"/>
          <w:u w:val="none"/>
          <w:lang w:val="en-US" w:eastAsia="zh-CN" w:bidi="ar"/>
        </w:rPr>
        <w:t>深圳建设中国特色社会主义先行示范区</w:t>
      </w:r>
    </w:p>
    <w:p>
      <w:pPr>
        <w:widowControl/>
        <w:spacing w:line="588" w:lineRule="exact"/>
        <w:ind w:firstLine="601"/>
        <w:jc w:val="center"/>
        <w:rPr>
          <w:rFonts w:hint="eastAsia" w:ascii="方正小标宋_GBK" w:hAnsi="方正小标宋_GBK" w:eastAsia="方正小标宋_GBK" w:cs="方正小标宋_GBK"/>
          <w:i w:val="0"/>
          <w:color w:val="000000"/>
          <w:kern w:val="0"/>
          <w:sz w:val="40"/>
          <w:szCs w:val="40"/>
          <w:u w:val="none"/>
          <w:lang w:val="en-US" w:eastAsia="zh-CN" w:bidi="ar"/>
        </w:rPr>
      </w:pPr>
      <w:r>
        <w:rPr>
          <w:rFonts w:hint="eastAsia" w:ascii="方正小标宋_GBK" w:hAnsi="方正小标宋_GBK" w:eastAsia="方正小标宋_GBK" w:cs="方正小标宋_GBK"/>
          <w:i w:val="0"/>
          <w:color w:val="000000"/>
          <w:kern w:val="0"/>
          <w:sz w:val="40"/>
          <w:szCs w:val="40"/>
          <w:u w:val="none"/>
          <w:lang w:val="en-US" w:eastAsia="zh-CN" w:bidi="ar"/>
        </w:rPr>
        <w:t>综合改革试点首批授权事项清单</w:t>
      </w:r>
    </w:p>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r>
        <w:rPr>
          <w:sz w:val="30"/>
        </w:rPr>
        <mc:AlternateContent>
          <mc:Choice Requires="wps">
            <w:drawing>
              <wp:anchor distT="0" distB="0" distL="114300" distR="114300" simplePos="0" relativeHeight="251662336" behindDoc="0" locked="0" layoutInCell="1" allowOverlap="1">
                <wp:simplePos x="0" y="0"/>
                <wp:positionH relativeFrom="column">
                  <wp:posOffset>-250825</wp:posOffset>
                </wp:positionH>
                <wp:positionV relativeFrom="paragraph">
                  <wp:posOffset>74930</wp:posOffset>
                </wp:positionV>
                <wp:extent cx="5723890" cy="23291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23890" cy="2329180"/>
                        </a:xfrm>
                        <a:prstGeom prst="rect">
                          <a:avLst/>
                        </a:prstGeom>
                        <a:noFill/>
                        <a:ln>
                          <a:noFill/>
                        </a:ln>
                      </wps:spPr>
                      <wps:txbx>
                        <w:txbxContent>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近日，中共中央办公厅、国务院办公厅印发了《深圳建设中国特色社会主义先行示范区综合改革试点实施方案（</w:t>
                            </w:r>
                            <w:r>
                              <w:rPr>
                                <w:rFonts w:hint="default" w:ascii="Times New Roman" w:hAnsi="Times New Roman" w:cs="Times New Roman"/>
                                <w:i w:val="0"/>
                                <w:color w:val="000000"/>
                                <w:kern w:val="0"/>
                                <w:sz w:val="30"/>
                                <w:szCs w:val="30"/>
                                <w:u w:val="none"/>
                                <w:lang w:val="en-US" w:eastAsia="zh-CN" w:bidi="ar"/>
                              </w:rPr>
                              <w:t>2020-2025</w:t>
                            </w:r>
                            <w:r>
                              <w:rPr>
                                <w:rFonts w:hint="eastAsia" w:ascii="方正仿宋_GBK" w:hAnsi="方正仿宋_GBK" w:cs="方正仿宋_GBK"/>
                                <w:i w:val="0"/>
                                <w:color w:val="000000"/>
                                <w:kern w:val="0"/>
                                <w:sz w:val="30"/>
                                <w:szCs w:val="30"/>
                                <w:u w:val="none"/>
                                <w:lang w:val="en-US" w:eastAsia="zh-CN" w:bidi="ar"/>
                              </w:rPr>
                              <w:t>年）》，同时以附件形式印发了首批授权事项清单，并发出通知，要求各地区各部门结合实际认真贯彻落实。</w:t>
                            </w:r>
                          </w:p>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《深圳建设中国特色社会主义先行示范区综合改革试点首批授权事项清单》主要内容如下。</w:t>
                            </w:r>
                          </w:p>
                          <w:p/>
                        </w:txbxContent>
                      </wps:txbx>
                      <wps:bodyPr upright="1"/>
                    </wps:wsp>
                  </a:graphicData>
                </a:graphic>
              </wp:anchor>
            </w:drawing>
          </mc:Choice>
          <mc:Fallback>
            <w:pict>
              <v:shape id="_x0000_s1026" o:spid="_x0000_s1026" o:spt="202" type="#_x0000_t202" style="position:absolute;left:0pt;margin-left:-19.75pt;margin-top:5.9pt;height:183.4pt;width:450.7pt;z-index:251662336;mso-width-relative:page;mso-height-relative:page;" filled="f" stroked="f" coordsize="21600,21600" o:gfxdata="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iUrvE1wAA&#10;AAoBAAAPAAAAAAAAAAEAIAAAACIAAABkcnMvZG93bnJldi54bWxQSwECFAAUAAAACACHTuJA+9ng&#10;AK0BAABPAwAADgAAAAAAAAABACAAAAAmAQAAZHJzL2Uyb0RvYy54bWxQSwUGAAAAAAYABgBZAQAA&#10;RQUAAAAA&#10;">
                <v:fill on="f" focussize="0,0"/>
                <v:stroke on="f"/>
                <v:imagedata o:title=""/>
                <o:lock v:ext="edit" aspectratio="f"/>
                <v:textbox>
                  <w:txbxContent>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近日，中共中央办公厅、国务院办公厅印发了《深圳建设中国特色社会主义先行示范区综合改革试点实施方案（</w:t>
                      </w:r>
                      <w:r>
                        <w:rPr>
                          <w:rFonts w:hint="default" w:ascii="Times New Roman" w:hAnsi="Times New Roman" w:cs="Times New Roman"/>
                          <w:i w:val="0"/>
                          <w:color w:val="000000"/>
                          <w:kern w:val="0"/>
                          <w:sz w:val="30"/>
                          <w:szCs w:val="30"/>
                          <w:u w:val="none"/>
                          <w:lang w:val="en-US" w:eastAsia="zh-CN" w:bidi="ar"/>
                        </w:rPr>
                        <w:t>2020-2025</w:t>
                      </w:r>
                      <w:r>
                        <w:rPr>
                          <w:rFonts w:hint="eastAsia" w:ascii="方正仿宋_GBK" w:hAnsi="方正仿宋_GBK" w:cs="方正仿宋_GBK"/>
                          <w:i w:val="0"/>
                          <w:color w:val="000000"/>
                          <w:kern w:val="0"/>
                          <w:sz w:val="30"/>
                          <w:szCs w:val="30"/>
                          <w:u w:val="none"/>
                          <w:lang w:val="en-US" w:eastAsia="zh-CN" w:bidi="ar"/>
                        </w:rPr>
                        <w:t>年）》，同时以附件形式印发了首批授权事项清单，并发出通知，要求各地区各部门结合实际认真贯彻落实。</w:t>
                      </w:r>
                    </w:p>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《深圳建设中国特色社会主义先行示范区综合改革试点首批授权事项清单》主要内容如下。</w:t>
                      </w:r>
                    </w:p>
                    <w:p/>
                  </w:txbxContent>
                </v:textbox>
              </v:shape>
            </w:pict>
          </mc:Fallback>
        </mc:AlternateContent>
      </w:r>
    </w:p>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p>
    <w:p>
      <w:pPr>
        <w:widowControl/>
        <w:spacing w:line="588" w:lineRule="exact"/>
        <w:ind w:firstLine="601"/>
        <w:rPr>
          <w:rFonts w:hint="eastAsia" w:ascii="方正仿宋_GBK" w:hAnsi="方正仿宋_GBK" w:cs="方正仿宋_GBK"/>
          <w:i w:val="0"/>
          <w:color w:val="000000"/>
          <w:kern w:val="0"/>
          <w:sz w:val="30"/>
          <w:szCs w:val="30"/>
          <w:u w:val="none"/>
          <w:lang w:val="en-US" w:eastAsia="zh-CN" w:bidi="ar"/>
        </w:rPr>
      </w:pPr>
    </w:p>
    <w:tbl>
      <w:tblPr>
        <w:tblStyle w:val="6"/>
        <w:tblpPr w:leftFromText="180" w:rightFromText="180" w:vertAnchor="text" w:horzAnchor="page" w:tblpX="1665" w:tblpY="209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58"/>
        <w:gridCol w:w="2494"/>
        <w:gridCol w:w="53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1"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eastAsia" w:ascii="方正黑体_GBK" w:hAnsi="方正黑体_GBK" w:eastAsia="方正黑体_GBK" w:cs="方正黑体_GBK"/>
                <w:b w:val="0"/>
                <w:bCs/>
                <w:i w:val="0"/>
                <w:color w:val="000000"/>
                <w:sz w:val="30"/>
                <w:szCs w:val="30"/>
                <w:u w:val="none"/>
              </w:rPr>
            </w:pPr>
            <w:r>
              <w:rPr>
                <w:rStyle w:val="8"/>
                <w:rFonts w:hint="eastAsia" w:ascii="方正黑体_GBK" w:hAnsi="方正黑体_GBK" w:eastAsia="方正黑体_GBK" w:cs="方正黑体_GBK"/>
                <w:b w:val="0"/>
                <w:bCs/>
                <w:sz w:val="30"/>
                <w:szCs w:val="30"/>
                <w:lang w:val="en-US" w:eastAsia="zh-CN" w:bidi="ar"/>
              </w:rPr>
              <w:t>序 号</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eastAsia" w:ascii="方正黑体_GBK" w:hAnsi="方正黑体_GBK" w:eastAsia="方正黑体_GBK" w:cs="方正黑体_GBK"/>
                <w:b w:val="0"/>
                <w:bCs/>
                <w:i w:val="0"/>
                <w:color w:val="000000"/>
                <w:sz w:val="30"/>
                <w:szCs w:val="30"/>
                <w:u w:val="none"/>
              </w:rPr>
            </w:pPr>
            <w:r>
              <w:rPr>
                <w:rFonts w:hint="eastAsia" w:ascii="方正黑体_GBK" w:hAnsi="方正黑体_GBK" w:eastAsia="方正黑体_GBK" w:cs="方正黑体_GBK"/>
                <w:b w:val="0"/>
                <w:bCs/>
                <w:i w:val="0"/>
                <w:color w:val="000000"/>
                <w:kern w:val="0"/>
                <w:sz w:val="30"/>
                <w:szCs w:val="30"/>
                <w:u w:val="none"/>
                <w:lang w:val="en-US" w:eastAsia="zh-CN" w:bidi="ar"/>
              </w:rPr>
              <w:t>事</w:t>
            </w:r>
            <w:r>
              <w:rPr>
                <w:rStyle w:val="9"/>
                <w:rFonts w:hint="eastAsia" w:ascii="方正黑体_GBK" w:hAnsi="方正黑体_GBK" w:eastAsia="方正黑体_GBK" w:cs="方正黑体_GBK"/>
                <w:b w:val="0"/>
                <w:bCs/>
                <w:sz w:val="30"/>
                <w:szCs w:val="30"/>
                <w:lang w:val="en-US" w:eastAsia="zh-CN" w:bidi="ar"/>
              </w:rPr>
              <w:t xml:space="preserve">    </w:t>
            </w:r>
            <w:r>
              <w:rPr>
                <w:rStyle w:val="8"/>
                <w:rFonts w:hint="eastAsia" w:ascii="方正黑体_GBK" w:hAnsi="方正黑体_GBK" w:eastAsia="方正黑体_GBK" w:cs="方正黑体_GBK"/>
                <w:b w:val="0"/>
                <w:bCs/>
                <w:sz w:val="30"/>
                <w:szCs w:val="30"/>
                <w:lang w:val="en-US" w:eastAsia="zh-CN" w:bidi="ar"/>
              </w:rPr>
              <w:t>项</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eastAsia" w:ascii="方正黑体_GBK" w:hAnsi="方正黑体_GBK" w:eastAsia="方正黑体_GBK" w:cs="方正黑体_GBK"/>
                <w:b w:val="0"/>
                <w:bCs/>
                <w:i w:val="0"/>
                <w:color w:val="000000"/>
                <w:sz w:val="30"/>
                <w:szCs w:val="30"/>
                <w:u w:val="none"/>
              </w:rPr>
            </w:pPr>
            <w:r>
              <w:rPr>
                <w:rFonts w:hint="eastAsia" w:ascii="方正黑体_GBK" w:hAnsi="方正黑体_GBK" w:eastAsia="方正黑体_GBK" w:cs="方正黑体_GBK"/>
                <w:b w:val="0"/>
                <w:bCs/>
                <w:i w:val="0"/>
                <w:color w:val="000000"/>
                <w:kern w:val="0"/>
                <w:sz w:val="30"/>
                <w:szCs w:val="30"/>
                <w:u w:val="none"/>
                <w:lang w:val="en-US" w:eastAsia="zh-CN" w:bidi="ar"/>
              </w:rPr>
              <w:t xml:space="preserve">主 </w:t>
            </w:r>
            <w:r>
              <w:rPr>
                <w:rStyle w:val="9"/>
                <w:rFonts w:hint="eastAsia" w:ascii="方正黑体_GBK" w:hAnsi="方正黑体_GBK" w:eastAsia="方正黑体_GBK" w:cs="方正黑体_GBK"/>
                <w:b w:val="0"/>
                <w:bCs/>
                <w:sz w:val="30"/>
                <w:szCs w:val="30"/>
                <w:lang w:val="en-US" w:eastAsia="zh-CN" w:bidi="ar"/>
              </w:rPr>
              <w:t xml:space="preserve"> </w:t>
            </w:r>
            <w:r>
              <w:rPr>
                <w:rStyle w:val="8"/>
                <w:rFonts w:hint="eastAsia" w:ascii="方正黑体_GBK" w:hAnsi="方正黑体_GBK" w:eastAsia="方正黑体_GBK" w:cs="方正黑体_GBK"/>
                <w:b w:val="0"/>
                <w:bCs/>
                <w:sz w:val="30"/>
                <w:szCs w:val="30"/>
                <w:lang w:val="en-US" w:eastAsia="zh-CN" w:bidi="ar"/>
              </w:rPr>
              <w:t>要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7" w:hRule="atLeast"/>
        </w:trPr>
        <w:tc>
          <w:tcPr>
            <w:tcW w:w="89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left"/>
              <w:textAlignment w:val="center"/>
              <w:outlineLvl w:val="9"/>
              <w:rPr>
                <w:rFonts w:hint="default" w:ascii="Times New Roman" w:hAnsi="Times New Roman" w:eastAsia="宋体" w:cs="Times New Roman"/>
                <w:i w:val="0"/>
                <w:color w:val="000000"/>
                <w:sz w:val="30"/>
                <w:szCs w:val="30"/>
                <w:u w:val="none"/>
              </w:rPr>
            </w:pPr>
            <w:r>
              <w:rPr>
                <w:rStyle w:val="10"/>
                <w:rFonts w:hint="eastAsia"/>
                <w:sz w:val="30"/>
                <w:szCs w:val="30"/>
                <w:lang w:val="en-US" w:eastAsia="zh-CN" w:bidi="ar"/>
              </w:rPr>
              <w:t xml:space="preserve"> </w:t>
            </w:r>
            <w:r>
              <w:rPr>
                <w:rStyle w:val="10"/>
                <w:sz w:val="30"/>
                <w:szCs w:val="30"/>
                <w:lang w:val="en-US" w:eastAsia="zh-CN" w:bidi="ar"/>
              </w:rPr>
              <w:t>一、要素市场化配置方面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sz w:val="30"/>
                <w:szCs w:val="30"/>
                <w:u w:val="none"/>
              </w:rPr>
            </w:pPr>
            <w:r>
              <w:rPr>
                <w:rFonts w:hint="default" w:ascii="Times New Roman" w:hAnsi="Times New Roman" w:eastAsia="宋体" w:cs="Times New Roman"/>
                <w:i w:val="0"/>
                <w:color w:val="000000"/>
                <w:kern w:val="0"/>
                <w:sz w:val="30"/>
                <w:szCs w:val="30"/>
                <w:u w:val="none"/>
                <w:lang w:val="en-US" w:eastAsia="zh-CN" w:bidi="ar"/>
              </w:rPr>
              <w:t>1</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ascii="方正仿宋_GBK" w:hAnsi="方正仿宋_GBK" w:eastAsia="方正仿宋_GBK" w:cs="方正仿宋_GBK"/>
                <w:i w:val="0"/>
                <w:color w:val="000000"/>
                <w:sz w:val="30"/>
                <w:szCs w:val="30"/>
                <w:u w:val="none"/>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授权和委托用地审批权</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sz w:val="30"/>
                <w:szCs w:val="30"/>
                <w:u w:val="none"/>
              </w:rPr>
            </w:pPr>
            <w:r>
              <w:rPr>
                <w:rFonts w:hint="eastAsia" w:ascii="方正仿宋_GBK" w:hAnsi="方正仿宋_GBK" w:eastAsia="方正仿宋_GBK" w:cs="方正仿宋_GBK"/>
                <w:i w:val="0"/>
                <w:color w:val="000000"/>
                <w:kern w:val="0"/>
                <w:sz w:val="30"/>
                <w:szCs w:val="30"/>
                <w:u w:val="none"/>
                <w:lang w:val="en-US" w:eastAsia="zh-CN" w:bidi="ar"/>
              </w:rPr>
              <w:t>　　将国务院授权广东省批准的永久基本农田以外的农用地转为建设用地审批事项，由广东省委托深圳市批准。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0"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sz w:val="30"/>
                <w:szCs w:val="30"/>
                <w:u w:val="none"/>
              </w:rPr>
            </w:pPr>
            <w:r>
              <w:rPr>
                <w:rFonts w:hint="default" w:ascii="Times New Roman" w:hAnsi="Times New Roman" w:eastAsia="宋体" w:cs="Times New Roman"/>
                <w:i w:val="0"/>
                <w:color w:val="000000"/>
                <w:kern w:val="0"/>
                <w:sz w:val="30"/>
                <w:szCs w:val="30"/>
                <w:u w:val="none"/>
                <w:lang w:val="en-US" w:eastAsia="zh-CN" w:bidi="ar"/>
              </w:rPr>
              <w:t>2</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sz w:val="30"/>
                <w:szCs w:val="30"/>
                <w:u w:val="none"/>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完善自然资源资产交易及监管机制</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sz w:val="30"/>
                <w:szCs w:val="30"/>
                <w:u w:val="none"/>
              </w:rPr>
            </w:pPr>
            <w:r>
              <w:rPr>
                <w:rFonts w:hint="eastAsia" w:ascii="方正仿宋_GBK" w:hAnsi="方正仿宋_GBK" w:eastAsia="方正仿宋_GBK" w:cs="方正仿宋_GBK"/>
                <w:i w:val="0"/>
                <w:color w:val="000000"/>
                <w:kern w:val="0"/>
                <w:sz w:val="30"/>
                <w:szCs w:val="30"/>
                <w:u w:val="none"/>
                <w:lang w:val="en-US" w:eastAsia="zh-CN" w:bidi="ar"/>
              </w:rPr>
              <w:t>　　建设自然资源资产交易平台，建立土地二级市场信息发布机制。完善土地二级市场规则，逐步完善一二级市场联动的土地市场服务监管体系。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05"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sz w:val="30"/>
                <w:szCs w:val="30"/>
                <w:u w:val="none"/>
              </w:rPr>
            </w:pPr>
            <w:r>
              <w:rPr>
                <w:rFonts w:hint="default" w:ascii="Times New Roman" w:hAnsi="Times New Roman" w:eastAsia="宋体" w:cs="Times New Roman"/>
                <w:i w:val="0"/>
                <w:color w:val="000000"/>
                <w:kern w:val="0"/>
                <w:sz w:val="30"/>
                <w:szCs w:val="30"/>
                <w:u w:val="none"/>
                <w:lang w:val="en-US" w:eastAsia="zh-CN" w:bidi="ar"/>
              </w:rPr>
              <w:t>3</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sz w:val="30"/>
                <w:szCs w:val="30"/>
                <w:u w:val="none"/>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开展土地二级市场预告登记转让制度试点</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sz w:val="30"/>
                <w:szCs w:val="30"/>
                <w:u w:val="none"/>
              </w:rPr>
            </w:pPr>
            <w:r>
              <w:rPr>
                <w:rFonts w:hint="eastAsia" w:ascii="方正仿宋_GBK" w:hAnsi="方正仿宋_GBK" w:eastAsia="方正仿宋_GBK" w:cs="方正仿宋_GBK"/>
                <w:i w:val="0"/>
                <w:color w:val="000000"/>
                <w:kern w:val="0"/>
                <w:sz w:val="30"/>
                <w:szCs w:val="30"/>
                <w:u w:val="none"/>
                <w:lang w:val="en-US" w:eastAsia="zh-CN" w:bidi="ar"/>
              </w:rPr>
              <w:t>　　充分利用市场机制盘活存量和低效用地。经全国人大常委会授权后，重点做好未完成开发投资总额</w:t>
            </w:r>
            <w:r>
              <w:rPr>
                <w:rStyle w:val="11"/>
                <w:rFonts w:eastAsia="方正仿宋_GBK"/>
                <w:sz w:val="30"/>
                <w:szCs w:val="30"/>
                <w:lang w:val="en-US" w:eastAsia="zh-CN" w:bidi="ar"/>
              </w:rPr>
              <w:t>25%</w:t>
            </w:r>
            <w:r>
              <w:rPr>
                <w:rStyle w:val="12"/>
                <w:sz w:val="30"/>
                <w:szCs w:val="30"/>
                <w:lang w:val="en-US" w:eastAsia="zh-CN" w:bidi="ar"/>
              </w:rPr>
              <w:t>的闲置工业用地的处置工作，可以采取提供交易鉴证、预告登记等方式，优化土地要素市场化配置，保障交易安全。未经批准，工业用途不得改变。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4</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开展特殊工时管理改革试点</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eastAsia="宋体" w:cs="Times New Roman"/>
                <w:i w:val="0"/>
                <w:color w:val="000000"/>
                <w:kern w:val="0"/>
                <w:sz w:val="30"/>
                <w:szCs w:val="30"/>
                <w:u w:val="none"/>
                <w:lang w:val="en-US" w:eastAsia="zh-CN" w:bidi="ar"/>
              </w:rPr>
              <w:t xml:space="preserve">    </w:t>
            </w:r>
            <w:r>
              <w:rPr>
                <w:rStyle w:val="12"/>
                <w:sz w:val="30"/>
                <w:szCs w:val="30"/>
                <w:lang w:val="en-US" w:eastAsia="zh-CN" w:bidi="ar"/>
              </w:rPr>
              <w:t>允许修订促进和谐劳动关系的相关经济特区法规，扩大特殊工时制度适用行业和工种岗位范围，探索适应新技术、新业态、新产业、新模式发展需要的特殊工时管理制度。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68"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5</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sz w:val="30"/>
                <w:szCs w:val="30"/>
                <w:u w:val="none"/>
                <w:lang w:val="en-US" w:eastAsia="zh-CN"/>
              </w:rPr>
              <w:t xml:space="preserve"> 支持在资本市场建设上先行先试</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eastAsia="宋体" w:cs="Times New Roman"/>
                <w:i w:val="0"/>
                <w:color w:val="000000"/>
                <w:kern w:val="0"/>
                <w:sz w:val="30"/>
                <w:szCs w:val="30"/>
                <w:u w:val="none"/>
                <w:lang w:val="en-US" w:eastAsia="zh-CN" w:bidi="ar"/>
              </w:rPr>
            </w:pPr>
            <w:r>
              <w:rPr>
                <w:rFonts w:hint="eastAsia"/>
                <w:sz w:val="30"/>
                <w:szCs w:val="30"/>
                <w:u w:val="none"/>
                <w:lang w:val="en-US" w:eastAsia="zh-CN"/>
              </w:rPr>
              <w:t xml:space="preserve">    </w:t>
            </w:r>
            <w:r>
              <w:rPr>
                <w:rFonts w:hint="eastAsia"/>
                <w:sz w:val="30"/>
                <w:szCs w:val="30"/>
                <w:u w:val="none"/>
              </w:rPr>
              <w:t>推进创业板改革并试点注册制</w:t>
            </w:r>
            <w:r>
              <w:rPr>
                <w:rFonts w:hint="eastAsia"/>
                <w:sz w:val="30"/>
                <w:szCs w:val="30"/>
                <w:u w:val="none"/>
                <w:lang w:eastAsia="zh-CN"/>
              </w:rPr>
              <w:t>落地，</w:t>
            </w:r>
            <w:r>
              <w:rPr>
                <w:rFonts w:hint="eastAsia"/>
                <w:sz w:val="30"/>
                <w:szCs w:val="30"/>
                <w:u w:val="none"/>
              </w:rPr>
              <w:t>建立新三板挂牌公司转板上市机制。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3"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6</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sz w:val="30"/>
                <w:szCs w:val="30"/>
                <w:u w:val="none"/>
                <w:lang w:val="en-US" w:eastAsia="zh-CN"/>
              </w:rPr>
            </w:pPr>
            <w:r>
              <w:rPr>
                <w:rStyle w:val="12"/>
                <w:sz w:val="30"/>
                <w:szCs w:val="30"/>
                <w:lang w:val="en-US" w:eastAsia="zh-CN" w:bidi="ar"/>
              </w:rPr>
              <w:t xml:space="preserve"> 推出深市股指期货</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sz w:val="30"/>
                <w:szCs w:val="30"/>
                <w:u w:val="none"/>
                <w:lang w:val="en-US" w:eastAsia="zh-CN"/>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推出深市股票股指期货，不断丰富股票股指期货产品体系。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7</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Style w:val="12"/>
                <w:sz w:val="30"/>
                <w:szCs w:val="30"/>
                <w:lang w:val="en-US" w:eastAsia="zh-CN" w:bidi="ar"/>
              </w:rPr>
              <w:t xml:space="preserve"> 开展创新企业境内发行股票或存托凭证（</w:t>
            </w:r>
            <w:r>
              <w:rPr>
                <w:rStyle w:val="11"/>
                <w:rFonts w:eastAsia="宋体"/>
                <w:sz w:val="30"/>
                <w:szCs w:val="30"/>
                <w:lang w:val="en-US" w:eastAsia="zh-CN" w:bidi="ar"/>
              </w:rPr>
              <w:t>CDR</w:t>
            </w:r>
            <w:r>
              <w:rPr>
                <w:rStyle w:val="12"/>
                <w:sz w:val="30"/>
                <w:szCs w:val="30"/>
                <w:lang w:val="en-US" w:eastAsia="zh-CN" w:bidi="ar"/>
              </w:rPr>
              <w:t>）试点</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完善创新企业境内发行上市制度，推动具有创新引领示范作用的企业发行股票或存托凭证（</w:t>
            </w:r>
            <w:r>
              <w:rPr>
                <w:rStyle w:val="11"/>
                <w:rFonts w:eastAsia="方正仿宋_GBK"/>
                <w:sz w:val="30"/>
                <w:szCs w:val="30"/>
                <w:lang w:val="en-US" w:eastAsia="zh-CN" w:bidi="ar"/>
              </w:rPr>
              <w:t>CDR</w:t>
            </w:r>
            <w:r>
              <w:rPr>
                <w:rStyle w:val="12"/>
                <w:sz w:val="30"/>
                <w:szCs w:val="30"/>
                <w:lang w:val="en-US" w:eastAsia="zh-CN" w:bidi="ar"/>
              </w:rPr>
              <w:t>）并在深交所上市，强化创新企业信息披露，保护投资者合法权益。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8</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Style w:val="12"/>
                <w:sz w:val="30"/>
                <w:szCs w:val="30"/>
                <w:lang w:val="en-US" w:eastAsia="zh-CN" w:bidi="ar"/>
              </w:rPr>
              <w:t xml:space="preserve"> 优化私募基金市场准入环境</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ind w:firstLine="612"/>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推动从事私募基金业务的公司或合伙制企业实行统一的注册名称和经营范围字样，登记注册后限期备案，建立完善市场监管、金融监管等部门私募基金登记注册信息互联互通机制。完善私募基金管理人及私募基金产品登记备案流程，为符合条件的管理人和基金产品开辟绿色通道，提升准入、募</w:t>
            </w:r>
            <w:r>
              <w:rPr>
                <w:rFonts w:hint="eastAsia" w:ascii="方正仿宋_GBK" w:hAnsi="方正仿宋_GBK" w:eastAsia="方正仿宋_GBK" w:cs="方正仿宋_GBK"/>
                <w:i w:val="0"/>
                <w:color w:val="000000"/>
                <w:spacing w:val="20"/>
                <w:kern w:val="0"/>
                <w:sz w:val="30"/>
                <w:szCs w:val="30"/>
                <w:u w:val="none"/>
                <w:lang w:val="en-US" w:eastAsia="zh-CN" w:bidi="ar"/>
              </w:rPr>
              <w:t>资、退出等环节便利化程度。建立私募基金分级分</w:t>
            </w:r>
            <w:r>
              <w:rPr>
                <w:rFonts w:hint="eastAsia" w:ascii="方正仿宋_GBK" w:hAnsi="方正仿宋_GBK" w:eastAsia="方正仿宋_GBK" w:cs="方正仿宋_GBK"/>
                <w:i w:val="0"/>
                <w:color w:val="000000"/>
                <w:kern w:val="0"/>
                <w:sz w:val="30"/>
                <w:szCs w:val="30"/>
                <w:u w:val="none"/>
                <w:lang w:val="en-US" w:eastAsia="zh-CN" w:bidi="ar"/>
              </w:rPr>
              <w:t>类监管机制，完善私募基金托管制度，加强账户行为监管，解决影响出资人权益保护的障碍和问题，提高违法违规成本，不断完善风险防控机制，借鉴可变资本公司等先进经验，试点探索私募基金新形态，推动私募基金行业规范健康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9</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优化创业投资企业市场准入和发展环境</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w:t>
            </w:r>
            <w:r>
              <w:rPr>
                <w:rStyle w:val="11"/>
                <w:rFonts w:eastAsia="方正仿宋_GBK"/>
                <w:sz w:val="30"/>
                <w:szCs w:val="30"/>
                <w:lang w:val="en-US" w:eastAsia="zh-CN" w:bidi="ar"/>
              </w:rPr>
              <w:t>1</w:t>
            </w:r>
            <w:r>
              <w:rPr>
                <w:rStyle w:val="12"/>
                <w:sz w:val="30"/>
                <w:szCs w:val="30"/>
                <w:lang w:val="en-US" w:eastAsia="zh-CN" w:bidi="ar"/>
              </w:rPr>
              <w:t>）完善创业投资发展的法治环境，鼓励深圳制定促进创业投资发展的地方性法规。优化创业投资发展的政策和市场环境，拓宽创业投资资金来源和市场化退出渠道，推动创业投资双向开放，营造有利于创业投资发展的生态环境。</w:t>
            </w:r>
            <w:r>
              <w:rPr>
                <w:rStyle w:val="11"/>
                <w:rFonts w:eastAsia="方正仿宋_GBK"/>
                <w:sz w:val="30"/>
                <w:szCs w:val="30"/>
                <w:lang w:val="en-US" w:eastAsia="zh-CN" w:bidi="ar"/>
              </w:rPr>
              <w:br w:type="textWrapping"/>
            </w:r>
            <w:r>
              <w:rPr>
                <w:rStyle w:val="11"/>
                <w:rFonts w:hint="eastAsia"/>
                <w:sz w:val="30"/>
                <w:szCs w:val="30"/>
                <w:lang w:val="en-US" w:eastAsia="zh-CN" w:bidi="ar"/>
              </w:rPr>
              <w:t xml:space="preserve">    </w:t>
            </w:r>
            <w:r>
              <w:rPr>
                <w:rStyle w:val="12"/>
                <w:sz w:val="30"/>
                <w:szCs w:val="30"/>
                <w:lang w:val="en-US" w:eastAsia="zh-CN" w:bidi="ar"/>
              </w:rPr>
              <w:t>（</w:t>
            </w:r>
            <w:r>
              <w:rPr>
                <w:rStyle w:val="11"/>
                <w:rFonts w:eastAsia="方正仿宋_GBK"/>
                <w:sz w:val="30"/>
                <w:szCs w:val="30"/>
                <w:lang w:val="en-US" w:eastAsia="zh-CN" w:bidi="ar"/>
              </w:rPr>
              <w:t>2</w:t>
            </w:r>
            <w:r>
              <w:rPr>
                <w:rStyle w:val="12"/>
                <w:sz w:val="30"/>
                <w:szCs w:val="30"/>
                <w:lang w:val="en-US" w:eastAsia="zh-CN" w:bidi="ar"/>
              </w:rPr>
              <w:t>）规范从事创业投资业务的公司或合伙制企业的注册名称和经营范围要求，创业投资企业商事登记注册后限期完成备案。健全市场监管、金融监管和行业发展等部门对创业投资企业登记注册信息实时共享和互联互通机制。</w:t>
            </w:r>
            <w:r>
              <w:rPr>
                <w:rStyle w:val="11"/>
                <w:rFonts w:eastAsia="方正仿宋_GBK"/>
                <w:sz w:val="30"/>
                <w:szCs w:val="30"/>
                <w:lang w:val="en-US" w:eastAsia="zh-CN" w:bidi="ar"/>
              </w:rPr>
              <w:br w:type="textWrapping"/>
            </w:r>
            <w:r>
              <w:rPr>
                <w:rStyle w:val="11"/>
                <w:rFonts w:hint="eastAsia"/>
                <w:sz w:val="30"/>
                <w:szCs w:val="30"/>
                <w:lang w:val="en-US" w:eastAsia="zh-CN" w:bidi="ar"/>
              </w:rPr>
              <w:t xml:space="preserve">    </w:t>
            </w:r>
            <w:r>
              <w:rPr>
                <w:rStyle w:val="12"/>
                <w:sz w:val="30"/>
                <w:szCs w:val="30"/>
                <w:lang w:val="en-US" w:eastAsia="zh-CN" w:bidi="ar"/>
              </w:rPr>
              <w:t>（</w:t>
            </w:r>
            <w:r>
              <w:rPr>
                <w:rStyle w:val="11"/>
                <w:rFonts w:eastAsia="方正仿宋_GBK"/>
                <w:sz w:val="30"/>
                <w:szCs w:val="30"/>
                <w:lang w:val="en-US" w:eastAsia="zh-CN" w:bidi="ar"/>
              </w:rPr>
              <w:t>3</w:t>
            </w:r>
            <w:r>
              <w:rPr>
                <w:rStyle w:val="12"/>
                <w:sz w:val="30"/>
                <w:szCs w:val="30"/>
                <w:lang w:val="en-US" w:eastAsia="zh-CN" w:bidi="ar"/>
              </w:rPr>
              <w:t>）支持深圳创建具有国际影响力的创业投资中心。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auto"/>
                <w:kern w:val="0"/>
                <w:sz w:val="30"/>
                <w:szCs w:val="30"/>
                <w:u w:val="none"/>
                <w:lang w:val="en-US" w:eastAsia="zh-CN" w:bidi="ar"/>
              </w:rPr>
              <w:t>10</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auto"/>
                <w:kern w:val="0"/>
                <w:sz w:val="30"/>
                <w:szCs w:val="30"/>
                <w:u w:val="none"/>
                <w:lang w:val="en-US" w:eastAsia="zh-CN" w:bidi="ar"/>
              </w:rPr>
              <w:t xml:space="preserve"> </w:t>
            </w:r>
            <w:r>
              <w:rPr>
                <w:rFonts w:hint="eastAsia" w:ascii="方正仿宋_GBK" w:hAnsi="方正仿宋_GBK" w:eastAsia="方正仿宋_GBK" w:cs="方正仿宋_GBK"/>
                <w:i w:val="0"/>
                <w:color w:val="auto"/>
                <w:kern w:val="0"/>
                <w:sz w:val="30"/>
                <w:szCs w:val="30"/>
                <w:u w:val="none"/>
                <w:lang w:val="en-US" w:eastAsia="zh-CN" w:bidi="ar"/>
              </w:rPr>
              <w:t>依法依规开展基础设施领域不动产投资信托基金试点</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宋体" w:hAnsi="宋体" w:eastAsia="宋体" w:cs="宋体"/>
                <w:i w:val="0"/>
                <w:color w:val="auto"/>
                <w:kern w:val="0"/>
                <w:sz w:val="30"/>
                <w:szCs w:val="30"/>
                <w:u w:val="none"/>
                <w:lang w:val="en-US" w:eastAsia="zh-CN" w:bidi="ar"/>
              </w:rPr>
              <w:t xml:space="preserve">　  </w:t>
            </w:r>
            <w:r>
              <w:rPr>
                <w:rStyle w:val="13"/>
                <w:color w:val="auto"/>
                <w:sz w:val="30"/>
                <w:szCs w:val="30"/>
                <w:u w:val="none"/>
                <w:lang w:val="en-US" w:eastAsia="zh-CN" w:bidi="ar"/>
              </w:rPr>
              <w:t>（</w:t>
            </w:r>
            <w:r>
              <w:rPr>
                <w:rStyle w:val="14"/>
                <w:rFonts w:eastAsia="宋体"/>
                <w:color w:val="auto"/>
                <w:sz w:val="30"/>
                <w:szCs w:val="30"/>
                <w:u w:val="none"/>
                <w:lang w:val="en-US" w:eastAsia="zh-CN" w:bidi="ar"/>
              </w:rPr>
              <w:t>1</w:t>
            </w:r>
            <w:r>
              <w:rPr>
                <w:rStyle w:val="13"/>
                <w:color w:val="auto"/>
                <w:sz w:val="30"/>
                <w:szCs w:val="30"/>
                <w:u w:val="none"/>
                <w:lang w:val="en-US" w:eastAsia="zh-CN" w:bidi="ar"/>
              </w:rPr>
              <w:t>）在交通、水利、物流仓储、产业园区等基础设施领域推出公募不动产投资信托基金。</w:t>
            </w:r>
            <w:r>
              <w:rPr>
                <w:rStyle w:val="14"/>
                <w:rFonts w:eastAsia="宋体"/>
                <w:color w:val="auto"/>
                <w:sz w:val="30"/>
                <w:szCs w:val="30"/>
                <w:u w:val="none"/>
                <w:lang w:val="en-US" w:eastAsia="zh-CN" w:bidi="ar"/>
              </w:rPr>
              <w:br w:type="textWrapping"/>
            </w:r>
            <w:r>
              <w:rPr>
                <w:rStyle w:val="15"/>
                <w:color w:val="auto"/>
                <w:sz w:val="30"/>
                <w:szCs w:val="30"/>
                <w:u w:val="none"/>
                <w:lang w:val="en-US" w:eastAsia="zh-CN" w:bidi="ar"/>
              </w:rPr>
              <w:t>　　</w:t>
            </w:r>
            <w:r>
              <w:rPr>
                <w:rStyle w:val="13"/>
                <w:color w:val="auto"/>
                <w:sz w:val="30"/>
                <w:szCs w:val="30"/>
                <w:u w:val="none"/>
                <w:lang w:val="en-US" w:eastAsia="zh-CN" w:bidi="ar"/>
              </w:rPr>
              <w:t>（</w:t>
            </w:r>
            <w:r>
              <w:rPr>
                <w:rStyle w:val="14"/>
                <w:rFonts w:eastAsia="宋体"/>
                <w:color w:val="auto"/>
                <w:sz w:val="30"/>
                <w:szCs w:val="30"/>
                <w:u w:val="none"/>
                <w:lang w:val="en-US" w:eastAsia="zh-CN" w:bidi="ar"/>
              </w:rPr>
              <w:t>2</w:t>
            </w:r>
            <w:r>
              <w:rPr>
                <w:rStyle w:val="13"/>
                <w:color w:val="auto"/>
                <w:sz w:val="30"/>
                <w:szCs w:val="30"/>
                <w:u w:val="none"/>
                <w:lang w:val="en-US" w:eastAsia="zh-CN" w:bidi="ar"/>
              </w:rPr>
              <w:t>）探索国有企业参与不动产投资信托基金的有效方式和路径。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auto"/>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11</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auto"/>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探索完善知识产权和科技成果产权市场化定价和交易机制</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auto"/>
                <w:kern w:val="0"/>
                <w:sz w:val="30"/>
                <w:szCs w:val="30"/>
                <w:u w:val="none"/>
                <w:lang w:val="en-US" w:eastAsia="zh-CN" w:bidi="ar"/>
              </w:rPr>
            </w:pPr>
            <w:r>
              <w:rPr>
                <w:rFonts w:hint="eastAsia"/>
                <w:sz w:val="30"/>
                <w:szCs w:val="30"/>
                <w:lang w:eastAsia="zh-CN"/>
              </w:rPr>
              <w:t xml:space="preserve"> </w:t>
            </w:r>
            <w:r>
              <w:rPr>
                <w:rFonts w:hint="eastAsia"/>
                <w:sz w:val="30"/>
                <w:szCs w:val="30"/>
                <w:lang w:val="en-US" w:eastAsia="zh-CN"/>
              </w:rPr>
              <w:t xml:space="preserve">   </w:t>
            </w:r>
            <w:r>
              <w:rPr>
                <w:rFonts w:hint="eastAsia" w:ascii="方正仿宋_GBK" w:hAnsi="方正仿宋_GBK" w:eastAsia="方正仿宋_GBK" w:cs="方正仿宋_GBK"/>
                <w:i w:val="0"/>
                <w:color w:val="000000"/>
                <w:kern w:val="0"/>
                <w:sz w:val="30"/>
                <w:szCs w:val="30"/>
                <w:u w:val="none"/>
                <w:lang w:val="en-US" w:eastAsia="zh-CN" w:bidi="ar"/>
              </w:rPr>
              <w:t>建立连接技术市场与资本市场的全国性综合服务平台，为科技成果交易、转移转化</w:t>
            </w:r>
            <w:r>
              <w:rPr>
                <w:rFonts w:hint="eastAsia" w:ascii="方正仿宋_GBK" w:hAnsi="方正仿宋_GBK" w:eastAsia="方正仿宋_GBK" w:cs="方正仿宋_GBK"/>
                <w:i w:val="0"/>
                <w:color w:val="000000"/>
                <w:kern w:val="0"/>
                <w:sz w:val="30"/>
                <w:szCs w:val="30"/>
                <w:highlight w:val="none"/>
                <w:u w:val="none"/>
                <w:lang w:val="en-US" w:eastAsia="zh-CN" w:bidi="ar"/>
              </w:rPr>
              <w:t>提供一</w:t>
            </w:r>
            <w:r>
              <w:rPr>
                <w:rFonts w:hint="eastAsia" w:ascii="方正仿宋_GBK" w:hAnsi="方正仿宋_GBK" w:eastAsia="方正仿宋_GBK" w:cs="方正仿宋_GBK"/>
                <w:i w:val="0"/>
                <w:color w:val="000000"/>
                <w:kern w:val="0"/>
                <w:sz w:val="30"/>
                <w:szCs w:val="30"/>
                <w:u w:val="none"/>
                <w:lang w:val="en-US" w:eastAsia="zh-CN" w:bidi="ar"/>
              </w:rPr>
              <w:t>站式服务。完善确权、登记和公示等基础功能，形成知识产权和科技成果产权市场化定价和交易机制，优化科技成果信息管理、检索和分析。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12</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分类分步放开通信行业</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宋体" w:hAnsi="宋体" w:eastAsia="宋体" w:cs="宋体"/>
                <w:i w:val="0"/>
                <w:color w:val="000000"/>
                <w:kern w:val="0"/>
                <w:sz w:val="30"/>
                <w:szCs w:val="30"/>
                <w:u w:val="none"/>
                <w:lang w:val="en-US" w:eastAsia="zh-CN" w:bidi="ar"/>
              </w:rPr>
              <w:t xml:space="preserve">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）安全有序放开基础电信业务。加快放开增值电信业务，逐步取消外资股比等限制。赋予深圳外商投资电信企业的审批权限。</w:t>
            </w:r>
            <w:r>
              <w:rPr>
                <w:rStyle w:val="11"/>
                <w:rFonts w:eastAsia="宋体"/>
                <w:sz w:val="30"/>
                <w:szCs w:val="30"/>
                <w:lang w:val="en-US" w:eastAsia="zh-CN" w:bidi="ar"/>
              </w:rPr>
              <w:t xml:space="preserve">  </w:t>
            </w:r>
            <w:r>
              <w:rPr>
                <w:rStyle w:val="11"/>
                <w:rFonts w:eastAsia="宋体"/>
                <w:sz w:val="30"/>
                <w:szCs w:val="30"/>
                <w:lang w:val="en-US" w:eastAsia="zh-CN" w:bidi="ar"/>
              </w:rPr>
              <w:br w:type="textWrapping"/>
            </w:r>
            <w:r>
              <w:rPr>
                <w:rStyle w:val="11"/>
                <w:rFonts w:hint="eastAsia" w:eastAsia="宋体"/>
                <w:sz w:val="30"/>
                <w:szCs w:val="30"/>
                <w:lang w:val="en-US" w:eastAsia="zh-CN" w:bidi="ar"/>
              </w:rPr>
              <w:t xml:space="preserve">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）支持深圳在本地运营商建立预警、监测、分析、处置平台。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48"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13</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推进大数据平台及相关机制建设</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支持建设粤港澳大湾区大数据中心，研究论证设立数据交易市场或依托现有交易场所开展数据交易</w:t>
            </w:r>
            <w:r>
              <w:rPr>
                <w:rStyle w:val="16"/>
                <w:color w:val="auto"/>
                <w:sz w:val="30"/>
                <w:szCs w:val="3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9" w:hRule="atLeast"/>
        </w:trPr>
        <w:tc>
          <w:tcPr>
            <w:tcW w:w="10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14</w:t>
            </w:r>
          </w:p>
        </w:tc>
        <w:tc>
          <w:tcPr>
            <w:tcW w:w="2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深化国资国企综合改革</w:t>
            </w:r>
          </w:p>
        </w:tc>
        <w:tc>
          <w:tcPr>
            <w:tcW w:w="5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000000"/>
                <w:kern w:val="0"/>
                <w:sz w:val="30"/>
                <w:szCs w:val="30"/>
                <w:u w:val="none"/>
                <w:lang w:val="en-US" w:eastAsia="zh-CN" w:bidi="ar"/>
              </w:rPr>
            </w:pPr>
            <w:r>
              <w:rPr>
                <w:rStyle w:val="12"/>
                <w:sz w:val="30"/>
                <w:szCs w:val="30"/>
                <w:lang w:val="en-US" w:eastAsia="zh-CN" w:bidi="ar"/>
              </w:rPr>
              <w:t xml:space="preserve">    （</w:t>
            </w:r>
            <w:r>
              <w:rPr>
                <w:rStyle w:val="11"/>
                <w:rFonts w:eastAsia="宋体"/>
                <w:sz w:val="30"/>
                <w:szCs w:val="30"/>
                <w:lang w:val="en-US" w:eastAsia="zh-CN" w:bidi="ar"/>
              </w:rPr>
              <w:t>1</w:t>
            </w:r>
            <w:r>
              <w:rPr>
                <w:rStyle w:val="12"/>
                <w:sz w:val="30"/>
                <w:szCs w:val="30"/>
                <w:lang w:val="en-US" w:eastAsia="zh-CN" w:bidi="ar"/>
              </w:rPr>
              <w:t>）支持深圳开展区域性国资国企综合改革试验，赋予更大改革自主权，鼓励结合实际推行更为灵活、更具创新性的改革举措。</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支持完善区别于党政领导干部、符合市场经济规律和企业家成长规律的国有企业领导人员管理机制，探索与企业市场地位和业绩贡献相匹配、与考核结果紧密挂钩、增量业绩决定增量激励的薪酬分配和长效激励约束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8" w:hRule="atLeast"/>
        </w:trPr>
        <w:tc>
          <w:tcPr>
            <w:tcW w:w="89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Style w:val="10"/>
                <w:rFonts w:hint="eastAsia"/>
                <w:sz w:val="30"/>
                <w:szCs w:val="30"/>
                <w:lang w:val="en-US" w:eastAsia="zh-CN" w:bidi="ar"/>
              </w:rPr>
              <w:t xml:space="preserve"> </w:t>
            </w:r>
            <w:r>
              <w:rPr>
                <w:rStyle w:val="10"/>
                <w:sz w:val="30"/>
                <w:szCs w:val="30"/>
                <w:lang w:val="en-US" w:eastAsia="zh-CN" w:bidi="ar"/>
              </w:rPr>
              <w:t>二、营商环境方面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8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Style w:val="10"/>
                <w:rFonts w:hint="eastAsia"/>
                <w:sz w:val="30"/>
                <w:szCs w:val="30"/>
                <w:lang w:val="en-US" w:eastAsia="zh-CN" w:bidi="ar"/>
              </w:rPr>
            </w:pPr>
            <w:r>
              <w:rPr>
                <w:rFonts w:hint="default" w:ascii="Times New Roman" w:hAnsi="Times New Roman" w:eastAsia="宋体" w:cs="Times New Roman"/>
                <w:i w:val="0"/>
                <w:color w:val="auto"/>
                <w:kern w:val="0"/>
                <w:sz w:val="30"/>
                <w:szCs w:val="30"/>
                <w:u w:val="none"/>
                <w:lang w:val="en-US" w:eastAsia="zh-CN" w:bidi="ar"/>
              </w:rPr>
              <w:t>15</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0"/>
                <w:rFonts w:hint="eastAsia"/>
                <w:sz w:val="30"/>
                <w:szCs w:val="30"/>
                <w:lang w:val="en-US" w:eastAsia="zh-CN" w:bidi="ar"/>
              </w:rPr>
            </w:pPr>
            <w:r>
              <w:rPr>
                <w:rFonts w:hint="eastAsia" w:ascii="方正仿宋_GBK" w:hAnsi="方正仿宋_GBK" w:cs="方正仿宋_GBK"/>
                <w:i w:val="0"/>
                <w:color w:val="auto"/>
                <w:kern w:val="0"/>
                <w:sz w:val="30"/>
                <w:szCs w:val="30"/>
                <w:u w:val="none"/>
                <w:lang w:val="en-US" w:eastAsia="zh-CN" w:bidi="ar"/>
              </w:rPr>
              <w:t xml:space="preserve"> </w:t>
            </w:r>
            <w:r>
              <w:rPr>
                <w:rFonts w:hint="eastAsia" w:ascii="方正仿宋_GBK" w:hAnsi="方正仿宋_GBK" w:eastAsia="方正仿宋_GBK" w:cs="方正仿宋_GBK"/>
                <w:i w:val="0"/>
                <w:color w:val="auto"/>
                <w:kern w:val="0"/>
                <w:sz w:val="30"/>
                <w:szCs w:val="30"/>
                <w:u w:val="none"/>
                <w:lang w:val="en-US" w:eastAsia="zh-CN" w:bidi="ar"/>
              </w:rPr>
              <w:t>创新国际性产业与标准组织管理制度</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0"/>
                <w:rFonts w:hint="eastAsia"/>
                <w:sz w:val="30"/>
                <w:szCs w:val="30"/>
                <w:lang w:val="en-US" w:eastAsia="zh-CN" w:bidi="ar"/>
              </w:rPr>
            </w:pPr>
            <w:r>
              <w:rPr>
                <w:rFonts w:hint="eastAsia" w:ascii="方正仿宋_GBK" w:hAnsi="方正仿宋_GBK" w:eastAsia="方正仿宋_GBK" w:cs="方正仿宋_GBK"/>
                <w:i w:val="0"/>
                <w:color w:val="auto"/>
                <w:kern w:val="0"/>
                <w:sz w:val="30"/>
                <w:szCs w:val="30"/>
                <w:u w:val="none"/>
                <w:lang w:val="en-US" w:eastAsia="zh-CN" w:bidi="ar"/>
              </w:rPr>
              <w:t>　　</w:t>
            </w:r>
            <w:r>
              <w:rPr>
                <w:rFonts w:hint="eastAsia" w:ascii="方正仿宋_GBK" w:hAnsi="方正仿宋_GBK" w:cs="方正仿宋_GBK"/>
                <w:i w:val="0"/>
                <w:color w:val="auto"/>
                <w:kern w:val="0"/>
                <w:sz w:val="30"/>
                <w:szCs w:val="30"/>
                <w:u w:val="none"/>
                <w:lang w:val="en-US" w:eastAsia="zh-CN" w:bidi="ar"/>
              </w:rPr>
              <w:t>对于住所设在深圳的国际性产业与标准组织，申请成立登记时，</w:t>
            </w:r>
            <w:r>
              <w:rPr>
                <w:rFonts w:hint="eastAsia" w:ascii="方正仿宋_GBK" w:hAnsi="方正仿宋_GBK" w:eastAsia="方正仿宋_GBK" w:cs="方正仿宋_GBK"/>
                <w:i w:val="0"/>
                <w:color w:val="auto"/>
                <w:kern w:val="0"/>
                <w:sz w:val="30"/>
                <w:szCs w:val="30"/>
                <w:u w:val="none"/>
                <w:lang w:val="en-US" w:eastAsia="zh-CN" w:bidi="ar"/>
              </w:rPr>
              <w:t>简化注册流程</w:t>
            </w:r>
            <w:r>
              <w:rPr>
                <w:rFonts w:hint="eastAsia" w:ascii="方正仿宋_GBK" w:hAnsi="方正仿宋_GBK" w:cs="方正仿宋_GBK"/>
                <w:i w:val="0"/>
                <w:color w:val="auto"/>
                <w:kern w:val="0"/>
                <w:sz w:val="30"/>
                <w:szCs w:val="30"/>
                <w:u w:val="none"/>
                <w:lang w:val="en-US" w:eastAsia="zh-CN" w:bidi="ar"/>
              </w:rPr>
              <w:t>，缩短注册时间，同时</w:t>
            </w:r>
            <w:r>
              <w:rPr>
                <w:rFonts w:hint="eastAsia" w:ascii="方正仿宋_GBK" w:hAnsi="方正仿宋_GBK" w:eastAsia="方正仿宋_GBK" w:cs="方正仿宋_GBK"/>
                <w:i w:val="0"/>
                <w:color w:val="auto"/>
                <w:kern w:val="0"/>
                <w:sz w:val="30"/>
                <w:szCs w:val="30"/>
                <w:u w:val="none"/>
                <w:lang w:val="en-US" w:eastAsia="zh-CN" w:bidi="ar"/>
              </w:rPr>
              <w:t>建立综合监管机制，加强监管。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8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auto"/>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16</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auto"/>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开展破产制度改革试点</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auto"/>
                <w:kern w:val="0"/>
                <w:sz w:val="30"/>
                <w:szCs w:val="30"/>
                <w:u w:val="none"/>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）试行破产预重整制度，探索建立泛亚太地区破产重整中心。</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）允许探索跨境破产协作机制，完善财产处置配套制度。</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3</w:t>
            </w:r>
            <w:r>
              <w:rPr>
                <w:rStyle w:val="12"/>
                <w:sz w:val="30"/>
                <w:szCs w:val="30"/>
                <w:lang w:val="en-US" w:eastAsia="zh-CN" w:bidi="ar"/>
              </w:rPr>
              <w:t>）探索政府有关部门与法院联动制度，建立信用修复机制。</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4</w:t>
            </w:r>
            <w:r>
              <w:rPr>
                <w:rStyle w:val="12"/>
                <w:sz w:val="30"/>
                <w:szCs w:val="30"/>
                <w:lang w:val="en-US" w:eastAsia="zh-CN" w:bidi="ar"/>
              </w:rPr>
              <w:t>）率先试行自然人破产制度，支持制定深圳经济特区个人破产相关规定。</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5</w:t>
            </w:r>
            <w:r>
              <w:rPr>
                <w:rStyle w:val="12"/>
                <w:sz w:val="30"/>
                <w:szCs w:val="30"/>
                <w:lang w:val="en-US" w:eastAsia="zh-CN" w:bidi="ar"/>
              </w:rPr>
              <w:t>）完善商事主体退出机制，创新企业注销制度。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8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17</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Style w:val="12"/>
                <w:sz w:val="30"/>
                <w:szCs w:val="30"/>
                <w:lang w:val="en-US" w:eastAsia="zh-CN" w:bidi="ar"/>
              </w:rPr>
              <w:t xml:space="preserve"> 开展新型知识产权法律保护试点</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000000"/>
                <w:kern w:val="0"/>
                <w:sz w:val="30"/>
                <w:szCs w:val="30"/>
                <w:u w:val="none"/>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）实施新型知识产权法律保护制度，完善互联网信息等数字知识产权财产权益保护和公平竞争制度。</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）建立惩罚性赔偿制度，先行探索依法降低商业秘密侵权行为刑事立案门槛。</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3</w:t>
            </w:r>
            <w:r>
              <w:rPr>
                <w:rStyle w:val="12"/>
                <w:sz w:val="30"/>
                <w:szCs w:val="30"/>
                <w:lang w:val="en-US" w:eastAsia="zh-CN" w:bidi="ar"/>
              </w:rPr>
              <w:t>）依法降低行政执法打击侵犯商业秘密行为的证据要求。引入证据披露、证据妨碍排除和优势证据规则，推进区块链技术在审判中的广泛应用，设立技术调查官，归纳明确“恶意”情形，将“情节严重”视作确定惩罚性赔偿金倍数的依据，赔偿数额充分反映知识产权市场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8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18</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Style w:val="12"/>
                <w:sz w:val="30"/>
                <w:szCs w:val="30"/>
                <w:lang w:val="en-US" w:eastAsia="zh-CN" w:bidi="ar"/>
              </w:rPr>
              <w:t xml:space="preserve"> 创新编制管理方式</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000000"/>
                <w:kern w:val="0"/>
                <w:sz w:val="30"/>
                <w:szCs w:val="30"/>
                <w:u w:val="none"/>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）中央和国家机关为支持深圳建设中国特色社会主义先行示范区，可以安排干部到深圳挂职，从实安排职务，明确职责分工，确保真挂实干，并按规定程序办理挂职备案手续。</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）允许深圳探索激励干部担当作为的薪酬体制改革。</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3</w:t>
            </w:r>
            <w:r>
              <w:rPr>
                <w:rStyle w:val="12"/>
                <w:sz w:val="30"/>
                <w:szCs w:val="30"/>
                <w:lang w:val="en-US" w:eastAsia="zh-CN" w:bidi="ar"/>
              </w:rPr>
              <w:t>）支持深圳按照协同高效原则不断优化组织机构，形成高效率组织体系。</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4</w:t>
            </w:r>
            <w:r>
              <w:rPr>
                <w:rStyle w:val="12"/>
                <w:sz w:val="30"/>
                <w:szCs w:val="30"/>
                <w:lang w:val="en-US" w:eastAsia="zh-CN" w:bidi="ar"/>
              </w:rPr>
              <w:t>）支持深圳积极探索统筹使用各类编制资源。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87"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19</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Style w:val="12"/>
                <w:sz w:val="30"/>
                <w:szCs w:val="30"/>
                <w:lang w:val="en-US" w:eastAsia="zh-CN" w:bidi="ar"/>
              </w:rPr>
              <w:t xml:space="preserve"> 支持深圳开展行政复议体制改革</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县级以上一级地方政府只保留一个行政复议机关，由本级政府统一行使行政复议职责。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3"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20</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支持深圳开展行政诉讼体制改革</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部分县级政府为被告的行政案件，由基层法院集中管辖。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79"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21</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支持深圳用好用足经济特区立法权</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扩宽深圳经济特区立法空间，赋予</w:t>
            </w:r>
            <w:r>
              <w:rPr>
                <w:rFonts w:hint="eastAsia" w:ascii="方正仿宋_GBK" w:hAnsi="方正仿宋_GBK" w:cs="方正仿宋_GBK"/>
                <w:i w:val="0"/>
                <w:color w:val="000000"/>
                <w:kern w:val="0"/>
                <w:sz w:val="30"/>
                <w:szCs w:val="30"/>
                <w:u w:val="none"/>
                <w:lang w:val="en-US" w:eastAsia="zh-CN" w:bidi="ar"/>
              </w:rPr>
              <w:t>深圳</w:t>
            </w:r>
            <w:r>
              <w:rPr>
                <w:rFonts w:hint="eastAsia" w:ascii="方正仿宋_GBK" w:hAnsi="方正仿宋_GBK" w:eastAsia="方正仿宋_GBK" w:cs="方正仿宋_GBK"/>
                <w:i w:val="0"/>
                <w:color w:val="000000"/>
                <w:kern w:val="0"/>
                <w:sz w:val="30"/>
                <w:szCs w:val="30"/>
                <w:u w:val="none"/>
                <w:lang w:val="en-US" w:eastAsia="zh-CN" w:bidi="ar"/>
              </w:rPr>
              <w:t>在人工智能、无人驾驶、大数据、生物医药、医疗健康、信息服务、个人破产等领域的先行先试权，支持深圳充分利用经济特区立法权进行探索。支持深圳在无人机管理等领域先行先试，并制定相应配套措施。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4" w:hRule="atLeast"/>
        </w:trPr>
        <w:tc>
          <w:tcPr>
            <w:tcW w:w="89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Style w:val="10"/>
                <w:sz w:val="30"/>
                <w:szCs w:val="30"/>
                <w:lang w:val="en-US" w:eastAsia="zh-CN" w:bidi="ar"/>
              </w:rPr>
              <w:t>三、科技创新体制方面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3"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22</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auto"/>
                <w:kern w:val="0"/>
                <w:sz w:val="30"/>
                <w:szCs w:val="30"/>
                <w:u w:val="none"/>
                <w:lang w:val="en-US" w:eastAsia="zh-CN" w:bidi="ar"/>
              </w:rPr>
              <w:t xml:space="preserve"> </w:t>
            </w:r>
            <w:r>
              <w:rPr>
                <w:rFonts w:hint="eastAsia" w:ascii="方正仿宋_GBK" w:hAnsi="方正仿宋_GBK" w:eastAsia="方正仿宋_GBK" w:cs="方正仿宋_GBK"/>
                <w:i w:val="0"/>
                <w:color w:val="auto"/>
                <w:kern w:val="0"/>
                <w:sz w:val="30"/>
                <w:szCs w:val="30"/>
                <w:u w:val="none"/>
                <w:lang w:val="en-US" w:eastAsia="zh-CN" w:bidi="ar"/>
              </w:rPr>
              <w:t>探索完善</w:t>
            </w:r>
            <w:r>
              <w:rPr>
                <w:rStyle w:val="12"/>
                <w:color w:val="auto"/>
                <w:sz w:val="30"/>
                <w:szCs w:val="30"/>
                <w:u w:val="none"/>
                <w:lang w:val="en-US" w:eastAsia="zh-CN" w:bidi="ar"/>
              </w:rPr>
              <w:t>大科学计划管理机制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宋体" w:hAnsi="宋体" w:eastAsia="宋体" w:cs="宋体"/>
                <w:i w:val="0"/>
                <w:color w:val="auto"/>
                <w:kern w:val="0"/>
                <w:sz w:val="30"/>
                <w:szCs w:val="30"/>
                <w:u w:val="none"/>
                <w:lang w:val="en-US" w:eastAsia="zh-CN" w:bidi="ar"/>
              </w:rPr>
              <w:t>　　</w:t>
            </w:r>
            <w:r>
              <w:rPr>
                <w:rStyle w:val="12"/>
                <w:color w:val="auto"/>
                <w:sz w:val="30"/>
                <w:szCs w:val="30"/>
                <w:u w:val="none"/>
                <w:lang w:val="en-US" w:eastAsia="zh-CN" w:bidi="ar"/>
              </w:rPr>
              <w:t>探索创新大科学计划的发起、组织、建设、运行、管理等机制。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3"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23</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auto"/>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优化科研机构技术转移机制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auto"/>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推动高校、科研机构设立技术转移部门，将科技成果转化情况纳入分类考核评价体系。建立高校、科研院所和国有企业科技成果向社会公开机制。在探索赋予科研人员职务科技成果所有权或长期使用权、成果评价、收益分配等方面先行先试。探索政府资助项目科技成果专利权向发明人或设计人、中小企业的转让和利益分配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9"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24</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完善金融支持科技创新的体制机制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Style w:val="12"/>
                <w:sz w:val="30"/>
                <w:szCs w:val="30"/>
                <w:lang w:val="en-US" w:eastAsia="zh-CN" w:bidi="ar"/>
              </w:rPr>
              <w:t xml:space="preserve">    （</w:t>
            </w:r>
            <w:r>
              <w:rPr>
                <w:rStyle w:val="11"/>
                <w:rFonts w:eastAsia="宋体"/>
                <w:sz w:val="30"/>
                <w:szCs w:val="30"/>
                <w:lang w:val="en-US" w:eastAsia="zh-CN" w:bidi="ar"/>
              </w:rPr>
              <w:t>1</w:t>
            </w:r>
            <w:r>
              <w:rPr>
                <w:rStyle w:val="12"/>
                <w:sz w:val="30"/>
                <w:szCs w:val="30"/>
                <w:lang w:val="en-US" w:eastAsia="zh-CN" w:bidi="ar"/>
              </w:rPr>
              <w:t>）鼓励深圳银行业金融机构在风险可控、商业可持续的前提下，与外部投资机构加强合作，积极探索多样化的科技金融服务模式。</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）支持深圳积极发展绿色金融与金融科技，申建绿色金融改革创新试验区。</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3</w:t>
            </w:r>
            <w:r>
              <w:rPr>
                <w:rStyle w:val="12"/>
                <w:sz w:val="30"/>
                <w:szCs w:val="30"/>
                <w:lang w:val="en-US" w:eastAsia="zh-CN" w:bidi="ar"/>
              </w:rPr>
              <w:t>）支持构建绿色技术市场导向创新体系。</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4</w:t>
            </w:r>
            <w:r>
              <w:rPr>
                <w:rStyle w:val="12"/>
                <w:sz w:val="30"/>
                <w:szCs w:val="30"/>
                <w:lang w:val="en-US" w:eastAsia="zh-CN" w:bidi="ar"/>
              </w:rPr>
              <w:t>）探索完善绿色金融组织体系、标准体系、信息化管理体系，推动金融科技和绿色金融融合发展。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24"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25</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推进外籍人才签证便利化</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）支持深圳探索制定外籍“高精尖缺”人才认定标准，为符合条件的外籍人员办理</w:t>
            </w:r>
            <w:r>
              <w:rPr>
                <w:rStyle w:val="11"/>
                <w:rFonts w:eastAsia="宋体"/>
                <w:sz w:val="30"/>
                <w:szCs w:val="30"/>
                <w:lang w:val="en-US" w:eastAsia="zh-CN" w:bidi="ar"/>
              </w:rPr>
              <w:t>R</w:t>
            </w:r>
            <w:r>
              <w:rPr>
                <w:rStyle w:val="12"/>
                <w:sz w:val="30"/>
                <w:szCs w:val="30"/>
                <w:lang w:val="en-US" w:eastAsia="zh-CN" w:bidi="ar"/>
              </w:rPr>
              <w:t>字签证。</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）赋予深圳外国高端人才确认函权限，探索优化外国人来华工作许可和工作类居留许可审批流程。</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3</w:t>
            </w:r>
            <w:r>
              <w:rPr>
                <w:rStyle w:val="12"/>
                <w:sz w:val="30"/>
                <w:szCs w:val="30"/>
                <w:lang w:val="en-US" w:eastAsia="zh-CN" w:bidi="ar"/>
              </w:rPr>
              <w:t>）对外籍高层次人才投资创业、讲学交流、经贸活动提供出入境便利。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14"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26</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探索完善外籍高层次人才居留便利和紧缺人才职业清单制度</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为外籍高层次人才提供永久居留便利。制定紧缺人才职业清单，简化外国人才来华工作手续，提高外国人才来华工作便利度。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82"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27</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Style w:val="12"/>
                <w:sz w:val="30"/>
                <w:szCs w:val="30"/>
                <w:lang w:val="en-US" w:eastAsia="zh-CN" w:bidi="ar"/>
              </w:rPr>
              <w:t xml:space="preserve"> 实施高度便利化的境外专业人才执业制度</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赋予深圳在有关部门指导下制定境外专业人才执业管理规定权限，明确职业条件、业务范围等，允许具有境外国际通行职业资格的金融、税务、建筑、规划等专业人才按相关规定在深提供专业服务。放宽境外人员（不包括医疗卫生人员）参加各类职业资格考试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9" w:hRule="atLeast"/>
        </w:trPr>
        <w:tc>
          <w:tcPr>
            <w:tcW w:w="89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Style w:val="10"/>
                <w:sz w:val="30"/>
                <w:szCs w:val="30"/>
                <w:lang w:val="en-US" w:eastAsia="zh-CN" w:bidi="ar"/>
              </w:rPr>
              <w:t>四、对外开放方面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1"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28</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完善涉外商事纠纷诉讼管辖制度</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w:t>
            </w:r>
            <w:r>
              <w:rPr>
                <w:rStyle w:val="12"/>
                <w:sz w:val="30"/>
                <w:szCs w:val="30"/>
                <w:lang w:val="en-US" w:eastAsia="zh-CN" w:bidi="ar"/>
              </w:rPr>
              <w:t>最高人民法院加强对重大疑难涉外商事案件的业务指导，提升审判质效。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23"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29</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完善国际法律服务和协作机制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以经济特区国际仲裁机构为基础建设粤港澳大湾区国际仲裁中心，健全国际法律服务和纠纷解决机制，支持经济特区国际仲裁机构牵头建设国际投资联合仲裁中心，通过合作方式引进相关国际组织和世界知名仲裁机构，建立国际调解组织和调解员交流协作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61"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30</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Style w:val="12"/>
                <w:sz w:val="30"/>
                <w:szCs w:val="30"/>
                <w:lang w:val="en-US" w:eastAsia="zh-CN" w:bidi="ar"/>
              </w:rPr>
              <w:t xml:space="preserve"> 开展本外币合一跨境资金池业务试点</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建立本外币合一资金池主账户，整合本外币资金调剂归集功能，双向宏观审慎管理资金池跨境资金流动，允许主账户内资金办理结售汇和相关的套期保值衍生品交易，跨境调出入资金币种保持一致，资金池资金使用实行负面清单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45"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auto"/>
                <w:kern w:val="0"/>
                <w:sz w:val="30"/>
                <w:szCs w:val="30"/>
                <w:u w:val="none"/>
                <w:lang w:val="en-US" w:eastAsia="zh-CN" w:bidi="ar"/>
              </w:rPr>
              <w:t>31</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方正仿宋_GBK" w:hAnsi="方正仿宋_GBK" w:cs="方正仿宋_GBK"/>
                <w:i w:val="0"/>
                <w:color w:val="auto"/>
                <w:kern w:val="0"/>
                <w:sz w:val="30"/>
                <w:szCs w:val="30"/>
                <w:u w:val="none"/>
                <w:lang w:val="en-US" w:eastAsia="zh-CN" w:bidi="ar"/>
              </w:rPr>
              <w:t xml:space="preserve"> </w:t>
            </w:r>
            <w:r>
              <w:rPr>
                <w:rFonts w:hint="eastAsia" w:ascii="方正仿宋_GBK" w:hAnsi="方正仿宋_GBK" w:eastAsia="方正仿宋_GBK" w:cs="方正仿宋_GBK"/>
                <w:i w:val="0"/>
                <w:color w:val="auto"/>
                <w:kern w:val="0"/>
                <w:sz w:val="30"/>
                <w:szCs w:val="30"/>
                <w:u w:val="none"/>
                <w:lang w:val="en-US" w:eastAsia="zh-CN" w:bidi="ar"/>
              </w:rPr>
              <w:t>先行先试地方政府债券发行机制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auto"/>
                <w:kern w:val="0"/>
                <w:sz w:val="30"/>
                <w:szCs w:val="30"/>
                <w:u w:val="none"/>
                <w:lang w:val="en-US" w:eastAsia="zh-CN" w:bidi="ar"/>
              </w:rPr>
              <w:t>　　授权深圳在国家核定地方债额度内自主发行。创新地方政府举债机制，允许深圳到境外发行离岸人民币地方政府债券。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41"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auto"/>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32</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auto"/>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扩大港口、航运业务对外开放</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auto"/>
                <w:kern w:val="0"/>
                <w:sz w:val="30"/>
                <w:szCs w:val="30"/>
                <w:u w:val="none"/>
                <w:lang w:val="en-US" w:eastAsia="zh-CN" w:bidi="ar"/>
              </w:rPr>
            </w:pPr>
            <w:r>
              <w:rPr>
                <w:rFonts w:hint="eastAsia" w:ascii="方正仿宋_GBK" w:hAnsi="方正仿宋_GBK" w:eastAsia="方正仿宋_GBK" w:cs="方正仿宋_GBK"/>
                <w:i w:val="0"/>
                <w:color w:val="FF0000"/>
                <w:kern w:val="0"/>
                <w:sz w:val="30"/>
                <w:szCs w:val="30"/>
                <w:u w:val="none"/>
                <w:lang w:val="en-US" w:eastAsia="zh-CN" w:bidi="ar"/>
              </w:rPr>
              <w:t>　　</w:t>
            </w:r>
            <w:r>
              <w:rPr>
                <w:rStyle w:val="12"/>
                <w:sz w:val="30"/>
                <w:szCs w:val="30"/>
                <w:lang w:val="en-US" w:eastAsia="zh-CN" w:bidi="ar"/>
              </w:rPr>
              <w:t>研究实施经邮轮母港入境的外籍游客</w:t>
            </w:r>
            <w:r>
              <w:rPr>
                <w:rStyle w:val="11"/>
                <w:rFonts w:eastAsia="方正仿宋_GBK"/>
                <w:sz w:val="30"/>
                <w:szCs w:val="30"/>
                <w:lang w:val="en-US" w:eastAsia="zh-CN" w:bidi="ar"/>
              </w:rPr>
              <w:t>144</w:t>
            </w:r>
            <w:r>
              <w:rPr>
                <w:rStyle w:val="12"/>
                <w:sz w:val="30"/>
                <w:szCs w:val="30"/>
                <w:lang w:val="en-US" w:eastAsia="zh-CN" w:bidi="ar"/>
              </w:rPr>
              <w:t>小时过境免签及邮轮团体乘客</w:t>
            </w:r>
            <w:r>
              <w:rPr>
                <w:rStyle w:val="11"/>
                <w:rFonts w:eastAsia="方正仿宋_GBK"/>
                <w:sz w:val="30"/>
                <w:szCs w:val="30"/>
                <w:lang w:val="en-US" w:eastAsia="zh-CN" w:bidi="ar"/>
              </w:rPr>
              <w:t>15</w:t>
            </w:r>
            <w:r>
              <w:rPr>
                <w:rStyle w:val="12"/>
                <w:sz w:val="30"/>
                <w:szCs w:val="30"/>
                <w:lang w:val="en-US" w:eastAsia="zh-CN" w:bidi="ar"/>
              </w:rPr>
              <w:t>天免签的政策。支持深圳在客运码头设置旅客国际中转区、优化出入境手续，以及延长口岸通关时间。取消游艇自由行海关担保金。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19"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33</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深化国际船舶登记制度改革</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FF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允许在深圳依法设立的企业，对其所有的船舶在深圳进行国际船舶登记，企业的外资股比不受限制。船籍港名称结合深圳实际需要依法由主管机关另行确定并公布。允许依法获批的外国验船公司对在深圳进行国际船舶登记的船舶开展入级检验和法定检验。允许外籍船员在深圳进行国际船舶登记的船舶任职高级船员，且所有船员免办就业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15"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34</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000000"/>
                <w:kern w:val="0"/>
                <w:sz w:val="30"/>
                <w:szCs w:val="30"/>
                <w:u w:val="none"/>
                <w:lang w:val="en-US" w:eastAsia="zh-CN" w:bidi="ar"/>
              </w:rPr>
            </w:pPr>
            <w:r>
              <w:rPr>
                <w:rStyle w:val="12"/>
                <w:sz w:val="30"/>
                <w:szCs w:val="30"/>
                <w:lang w:val="en-US" w:eastAsia="zh-CN" w:bidi="ar"/>
              </w:rPr>
              <w:t xml:space="preserve"> 赋予国际航行船舶保税加油许可权</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w:t>
            </w:r>
            <w:r>
              <w:rPr>
                <w:rFonts w:hint="eastAsia" w:ascii="方正仿宋_GBK" w:hAnsi="方正仿宋_GBK" w:eastAsia="方正仿宋_GBK" w:cs="方正仿宋_GBK"/>
                <w:i w:val="0"/>
                <w:color w:val="auto"/>
                <w:kern w:val="0"/>
                <w:sz w:val="30"/>
                <w:szCs w:val="30"/>
                <w:u w:val="none"/>
                <w:lang w:val="en-US" w:eastAsia="zh-CN" w:bidi="ar"/>
              </w:rPr>
              <w:t>　</w:t>
            </w:r>
            <w:r>
              <w:rPr>
                <w:rStyle w:val="12"/>
                <w:color w:val="auto"/>
                <w:sz w:val="30"/>
                <w:szCs w:val="30"/>
                <w:u w:val="none"/>
                <w:lang w:val="en-US" w:eastAsia="zh-CN" w:bidi="ar"/>
              </w:rPr>
              <w:t>在深圳水域试点开展国际航行船舶保税液化天然气加注业务。允许设立海上保税燃料油供应仓库。开展保税燃油使用人民币计价、结</w:t>
            </w:r>
            <w:r>
              <w:rPr>
                <w:rStyle w:val="12"/>
                <w:sz w:val="30"/>
                <w:szCs w:val="30"/>
                <w:lang w:val="en-US" w:eastAsia="zh-CN" w:bidi="ar"/>
              </w:rPr>
              <w:t>算试点。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1" w:hRule="atLeast"/>
        </w:trPr>
        <w:tc>
          <w:tcPr>
            <w:tcW w:w="89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Style w:val="10"/>
                <w:sz w:val="30"/>
                <w:szCs w:val="30"/>
                <w:lang w:val="en-US" w:eastAsia="zh-CN" w:bidi="ar"/>
              </w:rPr>
              <w:t>五、公共服务体制方面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56"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auto"/>
                <w:kern w:val="0"/>
                <w:sz w:val="30"/>
                <w:szCs w:val="30"/>
                <w:u w:val="none"/>
                <w:lang w:val="en-US" w:eastAsia="zh-CN" w:bidi="ar"/>
              </w:rPr>
              <w:t>35</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方正仿宋_GBK" w:hAnsi="方正仿宋_GBK" w:cs="方正仿宋_GBK"/>
                <w:i w:val="0"/>
                <w:color w:val="auto"/>
                <w:kern w:val="0"/>
                <w:sz w:val="30"/>
                <w:szCs w:val="30"/>
                <w:u w:val="none"/>
                <w:lang w:val="en-US" w:eastAsia="zh-CN" w:bidi="ar"/>
              </w:rPr>
              <w:t xml:space="preserve"> </w:t>
            </w:r>
            <w:r>
              <w:rPr>
                <w:rFonts w:hint="eastAsia" w:ascii="方正仿宋_GBK" w:hAnsi="方正仿宋_GBK" w:eastAsia="方正仿宋_GBK" w:cs="方正仿宋_GBK"/>
                <w:i w:val="0"/>
                <w:color w:val="auto"/>
                <w:kern w:val="0"/>
                <w:sz w:val="30"/>
                <w:szCs w:val="30"/>
                <w:u w:val="none"/>
                <w:lang w:val="en-US" w:eastAsia="zh-CN" w:bidi="ar"/>
              </w:rPr>
              <w:t>放宽国际新药准入</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sz w:val="30"/>
                <w:szCs w:val="30"/>
                <w:lang w:val="en-US" w:eastAsia="zh-CN"/>
              </w:rPr>
              <w:t xml:space="preserve">  　允许在粤港澳大湾区内地9市开业的指定医疗机构（港澳医疗卫生服务提供主体在珠三角9市按规定以独资、合资或合作等方式设置医疗机构）使用临床急需、已在港澳上市的药品</w:t>
            </w:r>
            <w:r>
              <w:rPr>
                <w:rFonts w:hint="eastAsia" w:ascii="方正仿宋_GBK" w:hAnsi="方正仿宋_GBK" w:eastAsia="方正仿宋_GBK" w:cs="方正仿宋_GBK"/>
                <w:sz w:val="30"/>
                <w:szCs w:val="30"/>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88"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auto"/>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36</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cs="方正仿宋_GBK"/>
                <w:i w:val="0"/>
                <w:color w:val="auto"/>
                <w:kern w:val="0"/>
                <w:sz w:val="30"/>
                <w:szCs w:val="30"/>
                <w:u w:val="none"/>
                <w:lang w:val="en-US" w:eastAsia="zh-CN" w:bidi="ar"/>
              </w:rPr>
            </w:pPr>
            <w:r>
              <w:rPr>
                <w:rStyle w:val="12"/>
                <w:sz w:val="30"/>
                <w:szCs w:val="30"/>
                <w:lang w:val="en-US" w:eastAsia="zh-CN" w:bidi="ar"/>
              </w:rPr>
              <w:t xml:space="preserve"> 探索完善医疗服务跨境衔接机制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sz w:val="30"/>
                <w:szCs w:val="30"/>
                <w:lang w:val="en-US" w:eastAsia="zh-CN"/>
              </w:rPr>
            </w:pPr>
            <w:r>
              <w:rPr>
                <w:rFonts w:hint="eastAsia" w:ascii="方正仿宋_GBK" w:hAnsi="方正仿宋_GBK" w:eastAsia="方正仿宋_GBK" w:cs="方正仿宋_GBK"/>
                <w:i w:val="0"/>
                <w:color w:val="000000"/>
                <w:kern w:val="0"/>
                <w:sz w:val="30"/>
                <w:szCs w:val="30"/>
                <w:u w:val="none"/>
                <w:lang w:val="en-US" w:eastAsia="zh-CN" w:bidi="ar"/>
              </w:rPr>
              <w:t>　　探索建立与国际接轨的医学人才培养、医院评审认证标准体系。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37</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left"/>
              <w:textAlignment w:val="center"/>
              <w:outlineLvl w:val="9"/>
              <w:rPr>
                <w:rStyle w:val="12"/>
                <w:sz w:val="30"/>
                <w:szCs w:val="30"/>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扩大企业博士后站办学自主权</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Style w:val="12"/>
                <w:sz w:val="30"/>
                <w:szCs w:val="30"/>
                <w:lang w:val="en-US" w:eastAsia="zh-CN" w:bidi="ar"/>
              </w:rPr>
              <w:t xml:space="preserve">    赋予深圳对</w:t>
            </w:r>
            <w:r>
              <w:rPr>
                <w:sz w:val="30"/>
                <w:szCs w:val="30"/>
              </w:rPr>
              <mc:AlternateContent>
                <mc:Choice Requires="wps">
                  <w:drawing>
                    <wp:anchor distT="0" distB="0" distL="114300" distR="114300" simplePos="0" relativeHeight="251663360" behindDoc="0" locked="0" layoutInCell="1" allowOverlap="1">
                      <wp:simplePos x="0" y="0"/>
                      <wp:positionH relativeFrom="column">
                        <wp:posOffset>2268220</wp:posOffset>
                      </wp:positionH>
                      <wp:positionV relativeFrom="paragraph">
                        <wp:posOffset>8949055</wp:posOffset>
                      </wp:positionV>
                      <wp:extent cx="4618990" cy="250825"/>
                      <wp:effectExtent l="4445" t="4445" r="5715" b="11430"/>
                      <wp:wrapNone/>
                      <wp:docPr id="4" name="文本框 4"/>
                      <wp:cNvGraphicFramePr/>
                      <a:graphic xmlns:a="http://schemas.openxmlformats.org/drawingml/2006/main">
                        <a:graphicData uri="http://schemas.microsoft.com/office/word/2010/wordprocessingShape">
                          <wps:wsp>
                            <wps:cNvSpPr txBox="1"/>
                            <wps:spPr>
                              <a:xfrm>
                                <a:off x="0" y="0"/>
                                <a:ext cx="4618990" cy="250825"/>
                              </a:xfrm>
                              <a:prstGeom prst="rect">
                                <a:avLst/>
                              </a:prstGeom>
                              <a:noFill/>
                              <a:ln w="6350" cap="flat" cmpd="sng">
                                <a:solidFill>
                                  <a:srgbClr val="000000"/>
                                </a:solidFill>
                                <a:prstDash val="solid"/>
                                <a:round/>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178.6pt;margin-top:704.65pt;height:19.75pt;width:363.7pt;z-index:251663360;mso-width-relative:page;mso-height-relative:page;" filled="f" stroked="t" coordsize="21600,21600" o:gfxdata="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2Yke90AAAAOAQAADwAAAAAAAAABACAAAAAi&#10;AAAAZHJzL2Rvd25yZXYueG1sUEsBAhQAFAAAAAgAh07iQOU7oyYFAgAADQQAAA4AAAAAAAAAAQAg&#10;AAAALAEAAGRycy9lMm9Eb2MueG1sUEsFBgAAAAAGAAYAWQEAAKMFAAAAAA==&#10;">
                      <v:fill on="f" focussize="0,0"/>
                      <v:stroke weight="0.5pt" color="#000000" joinstyle="round"/>
                      <v:imagedata o:title=""/>
                      <o:lock v:ext="edit" aspectratio="f"/>
                      <v:textbox>
                        <w:txbxContent>
                          <w:p/>
                        </w:txbxContent>
                      </v:textbox>
                    </v:shape>
                  </w:pict>
                </mc:Fallback>
              </mc:AlternateContent>
            </w:r>
            <w:r>
              <w:rPr>
                <w:rStyle w:val="12"/>
                <w:sz w:val="30"/>
                <w:szCs w:val="30"/>
                <w:lang w:val="en-US" w:eastAsia="zh-CN" w:bidi="ar"/>
              </w:rPr>
              <w:t>企业博士后科研工作站分站的设立和撤销权限。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5" w:hRule="atLeast"/>
        </w:trPr>
        <w:tc>
          <w:tcPr>
            <w:tcW w:w="89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方正黑体_GBK" w:hAnsi="方正黑体_GBK" w:eastAsia="方正黑体_GBK" w:cs="方正黑体_GBK"/>
                <w:i w:val="0"/>
                <w:color w:val="000000"/>
                <w:kern w:val="0"/>
                <w:sz w:val="30"/>
                <w:szCs w:val="30"/>
                <w:u w:val="none"/>
                <w:lang w:val="en-US" w:eastAsia="zh-CN" w:bidi="ar"/>
              </w:rPr>
              <w:t>六、生态环境和城市空间治理方面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38</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left"/>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优化生态环境管理机制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Style w:val="12"/>
                <w:sz w:val="30"/>
                <w:szCs w:val="30"/>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授权深圳实施环评制度改革，通过调整建设项目环境影响评价分类管理名录等形式，在已经开展区域空间生态环境评价的区域，按照生态环境准入清单要求，制定需要开展环评的重点项目名录，未纳入名录的建设项目简化或豁免环评。</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）赋予对单位注册所在地在深圳的地质灾害防治单位甲级、乙级资质审批权限。</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3</w:t>
            </w:r>
            <w:r>
              <w:rPr>
                <w:rStyle w:val="12"/>
                <w:sz w:val="30"/>
                <w:szCs w:val="30"/>
                <w:lang w:val="en-US" w:eastAsia="zh-CN" w:bidi="ar"/>
              </w:rPr>
              <w:t>）授权深圳引进境外各类资金投资国内气候项目，允许深圳投资于国内气候项目的境外资金有序退出。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39</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left"/>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探索优化建设项目用地用林用海审批机制</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宋体" w:hAnsi="宋体" w:eastAsia="宋体" w:cs="宋体"/>
                <w:i w:val="0"/>
                <w:color w:val="000000"/>
                <w:kern w:val="0"/>
                <w:sz w:val="30"/>
                <w:szCs w:val="30"/>
                <w:u w:val="none"/>
                <w:lang w:val="en-US" w:eastAsia="zh-CN" w:bidi="ar"/>
              </w:rPr>
            </w:pPr>
            <w:r>
              <w:rPr>
                <w:rFonts w:hint="eastAsia" w:ascii="方正仿宋_GBK" w:hAnsi="方正仿宋_GBK" w:eastAsia="方正仿宋_GBK" w:cs="方正仿宋_GBK"/>
                <w:i w:val="0"/>
                <w:color w:val="000000"/>
                <w:kern w:val="0"/>
                <w:sz w:val="30"/>
                <w:szCs w:val="30"/>
                <w:u w:val="none"/>
                <w:lang w:val="en-US" w:eastAsia="zh-CN" w:bidi="ar"/>
              </w:rPr>
              <w:t>　　允许深圳统筹用地用林规模和指标，在国土空间规划编制完成后，探索按规划期实施的总量管控模式。开展用地用林用海“统一收文、统一办理、统一发文”审批机制改革，加快实现“多审合一、多证合一”</w:t>
            </w:r>
            <w:r>
              <w:rPr>
                <w:rFonts w:hint="eastAsia" w:ascii="方正仿宋_GBK" w:hAnsi="方正仿宋_GBK" w:cs="方正仿宋_GBK"/>
                <w:i w:val="0"/>
                <w:color w:val="000000"/>
                <w:kern w:val="0"/>
                <w:sz w:val="30"/>
                <w:szCs w:val="30"/>
                <w:u w:val="none"/>
                <w:lang w:val="en-US" w:eastAsia="zh-CN" w:bidi="ar"/>
              </w:rPr>
              <w:t>。</w:t>
            </w:r>
            <w:r>
              <w:rPr>
                <w:rFonts w:hint="eastAsia" w:ascii="方正仿宋_GBK" w:hAnsi="方正仿宋_GBK" w:eastAsia="方正仿宋_GBK" w:cs="方正仿宋_GBK"/>
                <w:i w:val="0"/>
                <w:color w:val="000000"/>
                <w:kern w:val="0"/>
                <w:sz w:val="30"/>
                <w:szCs w:val="30"/>
                <w:u w:val="none"/>
                <w:lang w:val="en-US" w:eastAsia="zh-CN" w:bidi="ar"/>
              </w:rPr>
              <w:t>赋予深圳占用林地省级审核权限。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105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center"/>
              <w:textAlignment w:val="center"/>
              <w:outlineLvl w:val="9"/>
              <w:rPr>
                <w:rFonts w:hint="default" w:ascii="Times New Roman" w:hAnsi="Times New Roman" w:eastAsia="宋体" w:cs="Times New Roman"/>
                <w:i w:val="0"/>
                <w:color w:val="000000"/>
                <w:kern w:val="0"/>
                <w:sz w:val="30"/>
                <w:szCs w:val="30"/>
                <w:u w:val="none"/>
                <w:lang w:val="en-US" w:eastAsia="zh-CN" w:bidi="ar"/>
              </w:rPr>
            </w:pPr>
            <w:r>
              <w:rPr>
                <w:rFonts w:hint="default" w:ascii="Times New Roman" w:hAnsi="Times New Roman" w:eastAsia="宋体" w:cs="Times New Roman"/>
                <w:i w:val="0"/>
                <w:color w:val="000000"/>
                <w:kern w:val="0"/>
                <w:sz w:val="30"/>
                <w:szCs w:val="30"/>
                <w:u w:val="none"/>
                <w:lang w:val="en-US" w:eastAsia="zh-CN" w:bidi="ar"/>
              </w:rPr>
              <w:t>40</w:t>
            </w:r>
          </w:p>
        </w:tc>
        <w:tc>
          <w:tcPr>
            <w:tcW w:w="2494"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left"/>
              <w:textAlignment w:val="center"/>
              <w:outlineLvl w:val="9"/>
              <w:rPr>
                <w:rFonts w:hint="eastAsia" w:ascii="方正仿宋_GBK" w:hAnsi="方正仿宋_GBK" w:cs="方正仿宋_GBK"/>
                <w:i w:val="0"/>
                <w:color w:val="000000"/>
                <w:kern w:val="0"/>
                <w:sz w:val="30"/>
                <w:szCs w:val="30"/>
                <w:u w:val="none"/>
                <w:lang w:val="en-US" w:eastAsia="zh-CN" w:bidi="ar"/>
              </w:rPr>
            </w:pPr>
            <w:r>
              <w:rPr>
                <w:rFonts w:hint="eastAsia" w:ascii="方正仿宋_GBK" w:hAnsi="方正仿宋_GBK" w:cs="方正仿宋_GBK"/>
                <w:i w:val="0"/>
                <w:color w:val="000000"/>
                <w:kern w:val="0"/>
                <w:sz w:val="30"/>
                <w:szCs w:val="30"/>
                <w:u w:val="none"/>
                <w:lang w:val="en-US" w:eastAsia="zh-CN" w:bidi="ar"/>
              </w:rPr>
              <w:t xml:space="preserve"> </w:t>
            </w:r>
            <w:r>
              <w:rPr>
                <w:rFonts w:hint="eastAsia" w:ascii="方正仿宋_GBK" w:hAnsi="方正仿宋_GBK" w:eastAsia="方正仿宋_GBK" w:cs="方正仿宋_GBK"/>
                <w:i w:val="0"/>
                <w:color w:val="000000"/>
                <w:kern w:val="0"/>
                <w:sz w:val="30"/>
                <w:szCs w:val="30"/>
                <w:u w:val="none"/>
                <w:lang w:val="en-US" w:eastAsia="zh-CN" w:bidi="ar"/>
              </w:rPr>
              <w:t>开展航空资源结构化改革试点</w:t>
            </w:r>
          </w:p>
        </w:tc>
        <w:tc>
          <w:tcPr>
            <w:tcW w:w="5373"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spacing w:line="340" w:lineRule="exact"/>
              <w:jc w:val="both"/>
              <w:textAlignment w:val="center"/>
              <w:outlineLvl w:val="9"/>
              <w:rPr>
                <w:rFonts w:hint="eastAsia" w:ascii="方正仿宋_GBK" w:hAnsi="方正仿宋_GBK" w:eastAsia="方正仿宋_GBK" w:cs="方正仿宋_GBK"/>
                <w:i w:val="0"/>
                <w:color w:val="000000"/>
                <w:kern w:val="0"/>
                <w:sz w:val="30"/>
                <w:szCs w:val="30"/>
                <w:u w:val="none"/>
                <w:lang w:val="en-US" w:eastAsia="zh-CN" w:bidi="ar"/>
              </w:rPr>
            </w:pPr>
            <w:r>
              <w:rPr>
                <w:rFonts w:hint="eastAsia" w:ascii="宋体" w:hAnsi="宋体" w:eastAsia="宋体" w:cs="宋体"/>
                <w:i w:val="0"/>
                <w:color w:val="000000"/>
                <w:kern w:val="0"/>
                <w:sz w:val="30"/>
                <w:szCs w:val="30"/>
                <w:u w:val="none"/>
                <w:lang w:val="en-US" w:eastAsia="zh-CN" w:bidi="ar"/>
              </w:rPr>
              <w:t>　　</w:t>
            </w:r>
            <w:r>
              <w:rPr>
                <w:rStyle w:val="12"/>
                <w:sz w:val="30"/>
                <w:szCs w:val="30"/>
                <w:lang w:val="en-US" w:eastAsia="zh-CN" w:bidi="ar"/>
              </w:rPr>
              <w:t>（</w:t>
            </w:r>
            <w:r>
              <w:rPr>
                <w:rStyle w:val="11"/>
                <w:rFonts w:eastAsia="宋体"/>
                <w:sz w:val="30"/>
                <w:szCs w:val="30"/>
                <w:lang w:val="en-US" w:eastAsia="zh-CN" w:bidi="ar"/>
              </w:rPr>
              <w:t>1</w:t>
            </w:r>
            <w:r>
              <w:rPr>
                <w:rStyle w:val="12"/>
                <w:sz w:val="30"/>
                <w:szCs w:val="30"/>
                <w:lang w:val="en-US" w:eastAsia="zh-CN" w:bidi="ar"/>
              </w:rPr>
              <w:t>）支持深圳机场在满足条件下，进一步提升机场容量。</w:t>
            </w:r>
            <w:r>
              <w:rPr>
                <w:rStyle w:val="11"/>
                <w:rFonts w:eastAsia="宋体"/>
                <w:sz w:val="30"/>
                <w:szCs w:val="30"/>
                <w:lang w:val="en-US" w:eastAsia="zh-CN" w:bidi="ar"/>
              </w:rPr>
              <w:br w:type="textWrapping"/>
            </w:r>
            <w:r>
              <w:rPr>
                <w:rStyle w:val="17"/>
                <w:sz w:val="30"/>
                <w:szCs w:val="30"/>
                <w:lang w:val="en-US" w:eastAsia="zh-CN" w:bidi="ar"/>
              </w:rPr>
              <w:t>　　</w:t>
            </w:r>
            <w:r>
              <w:rPr>
                <w:rStyle w:val="12"/>
                <w:sz w:val="30"/>
                <w:szCs w:val="30"/>
                <w:lang w:val="en-US" w:eastAsia="zh-CN" w:bidi="ar"/>
              </w:rPr>
              <w:t>（</w:t>
            </w:r>
            <w:r>
              <w:rPr>
                <w:rStyle w:val="11"/>
                <w:rFonts w:eastAsia="宋体"/>
                <w:sz w:val="30"/>
                <w:szCs w:val="30"/>
                <w:lang w:val="en-US" w:eastAsia="zh-CN" w:bidi="ar"/>
              </w:rPr>
              <w:t>2</w:t>
            </w:r>
            <w:r>
              <w:rPr>
                <w:rStyle w:val="12"/>
                <w:sz w:val="30"/>
                <w:szCs w:val="30"/>
                <w:lang w:val="en-US" w:eastAsia="zh-CN" w:bidi="ar"/>
              </w:rPr>
              <w:t>）支持深圳在国家发展改革委指导下设立民航业发展混合所有制改革基金，积极参与民用航空业改革发展。</w:t>
            </w:r>
          </w:p>
        </w:tc>
      </w:tr>
    </w:tbl>
    <w:p>
      <w:pPr>
        <w:keepNext w:val="0"/>
        <w:keepLines w:val="0"/>
        <w:pageBreakBefore w:val="0"/>
        <w:widowControl w:val="0"/>
        <w:kinsoku/>
        <w:wordWrap/>
        <w:overflowPunct/>
        <w:topLinePunct w:val="0"/>
        <w:autoSpaceDE/>
        <w:autoSpaceDN/>
        <w:bidi w:val="0"/>
        <w:adjustRightInd/>
        <w:snapToGrid/>
        <w:spacing w:line="360" w:lineRule="exact"/>
        <w:textAlignment w:val="center"/>
        <w:outlineLvl w:val="9"/>
        <w:rPr>
          <w:szCs w:val="30"/>
        </w:rPr>
      </w:pPr>
    </w:p>
    <w:p>
      <w:pPr>
        <w:keepNext w:val="0"/>
        <w:keepLines w:val="0"/>
        <w:pageBreakBefore w:val="0"/>
        <w:widowControl w:val="0"/>
        <w:kinsoku/>
        <w:wordWrap/>
        <w:overflowPunct/>
        <w:topLinePunct w:val="0"/>
        <w:autoSpaceDE/>
        <w:autoSpaceDN/>
        <w:bidi w:val="0"/>
        <w:adjustRightInd/>
        <w:snapToGrid/>
        <w:spacing w:line="360" w:lineRule="exact"/>
        <w:textAlignment w:val="center"/>
        <w:outlineLvl w:val="9"/>
        <w:rPr>
          <w:rFonts w:hint="eastAsia"/>
          <w:szCs w:val="30"/>
          <w:lang w:val="en-US" w:eastAsia="zh-CN"/>
        </w:rPr>
      </w:pPr>
      <w:r>
        <w:rPr>
          <w:sz w:val="30"/>
          <w:szCs w:val="30"/>
        </w:rPr>
        <mc:AlternateContent>
          <mc:Choice Requires="wps">
            <w:drawing>
              <wp:anchor distT="0" distB="0" distL="114300" distR="114300" simplePos="0" relativeHeight="251661312" behindDoc="0" locked="0" layoutInCell="1" allowOverlap="1">
                <wp:simplePos x="0" y="0"/>
                <wp:positionH relativeFrom="column">
                  <wp:posOffset>2725420</wp:posOffset>
                </wp:positionH>
                <wp:positionV relativeFrom="paragraph">
                  <wp:posOffset>9406255</wp:posOffset>
                </wp:positionV>
                <wp:extent cx="4618990" cy="250825"/>
                <wp:effectExtent l="4445" t="4445" r="5715" b="11430"/>
                <wp:wrapNone/>
                <wp:docPr id="6" name="文本框 6"/>
                <wp:cNvGraphicFramePr/>
                <a:graphic xmlns:a="http://schemas.openxmlformats.org/drawingml/2006/main">
                  <a:graphicData uri="http://schemas.microsoft.com/office/word/2010/wordprocessingShape">
                    <wps:wsp>
                      <wps:cNvSpPr txBox="1"/>
                      <wps:spPr>
                        <a:xfrm>
                          <a:off x="0" y="0"/>
                          <a:ext cx="4618990" cy="250825"/>
                        </a:xfrm>
                        <a:prstGeom prst="rect">
                          <a:avLst/>
                        </a:prstGeom>
                        <a:noFill/>
                        <a:ln w="6350" cap="flat" cmpd="sng">
                          <a:solidFill>
                            <a:srgbClr val="000000"/>
                          </a:solidFill>
                          <a:prstDash val="solid"/>
                          <a:round/>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214.6pt;margin-top:740.65pt;height:19.75pt;width:363.7pt;z-index:251661312;mso-width-relative:page;mso-height-relative:page;" filled="f" stroked="t" coordsize="21600,21600" o:gfxdata="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2iaxLdAAAADgEAAA8AAAAAAAAAAQAgAAAAIgAA&#10;AGRycy9kb3ducmV2LnhtbFBLAQIUABQAAAAIAIdO4kDjr3xKAwIAAA0EAAAOAAAAAAAAAAEAIAAA&#10;ACwBAABkcnMvZTJvRG9jLnhtbFBLBQYAAAAABgAGAFkBAAChBQAAAAA=&#10;">
                <v:fill on="f" focussize="0,0"/>
                <v:stroke weight="0.5pt" color="#000000" joinstyle="round"/>
                <v:imagedata o:title=""/>
                <o:lock v:ext="edit" aspectratio="f"/>
                <v:textbox>
                  <w:txbxContent>
                    <w:p/>
                  </w:txbxContent>
                </v:textbox>
              </v:shape>
            </w:pict>
          </mc:Fallback>
        </mc:AlternateContent>
      </w:r>
      <w:r>
        <w:rPr>
          <w:sz w:val="30"/>
          <w:szCs w:val="30"/>
        </w:rPr>
        <mc:AlternateContent>
          <mc:Choice Requires="wps">
            <w:drawing>
              <wp:anchor distT="0" distB="0" distL="114300" distR="114300" simplePos="0" relativeHeight="251660288" behindDoc="0" locked="0" layoutInCell="1" allowOverlap="1">
                <wp:simplePos x="0" y="0"/>
                <wp:positionH relativeFrom="column">
                  <wp:posOffset>2573020</wp:posOffset>
                </wp:positionH>
                <wp:positionV relativeFrom="paragraph">
                  <wp:posOffset>9253855</wp:posOffset>
                </wp:positionV>
                <wp:extent cx="4618990" cy="250825"/>
                <wp:effectExtent l="4445" t="4445" r="5715" b="11430"/>
                <wp:wrapNone/>
                <wp:docPr id="5" name="文本框 5"/>
                <wp:cNvGraphicFramePr/>
                <a:graphic xmlns:a="http://schemas.openxmlformats.org/drawingml/2006/main">
                  <a:graphicData uri="http://schemas.microsoft.com/office/word/2010/wordprocessingShape">
                    <wps:wsp>
                      <wps:cNvSpPr txBox="1"/>
                      <wps:spPr>
                        <a:xfrm>
                          <a:off x="0" y="0"/>
                          <a:ext cx="4618990" cy="250825"/>
                        </a:xfrm>
                        <a:prstGeom prst="rect">
                          <a:avLst/>
                        </a:prstGeom>
                        <a:noFill/>
                        <a:ln w="6350" cap="flat" cmpd="sng">
                          <a:solidFill>
                            <a:srgbClr val="000000"/>
                          </a:solidFill>
                          <a:prstDash val="solid"/>
                          <a:round/>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202.6pt;margin-top:728.65pt;height:19.75pt;width:363.7pt;z-index:251660288;mso-width-relative:page;mso-height-relative:page;" filled="f" stroked="t" coordsize="21600,21600" o:gfxdata="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lsARt0AAAAOAQAADwAAAAAAAAABACAAAAAi&#10;AAAAZHJzL2Rvd25yZXYueG1sUEsBAhQAFAAAAAgAh07iQObxzBAFAgAADQQAAA4AAAAAAAAAAQAg&#10;AAAALAEAAGRycy9lMm9Eb2MueG1sUEsFBgAAAAAGAAYAWQEAAKMFAAAAAA==&#10;">
                <v:fill on="f" focussize="0,0"/>
                <v:stroke weight="0.5pt" color="#000000" joinstyle="round"/>
                <v:imagedata o:title=""/>
                <o:lock v:ext="edit" aspectratio="f"/>
                <v:textbox>
                  <w:txbxContent>
                    <w:p/>
                  </w:txbxContent>
                </v:textbox>
              </v:shape>
            </w:pict>
          </mc:Fallback>
        </mc:AlternateContent>
      </w:r>
      <w:r>
        <w:rPr>
          <w:sz w:val="30"/>
          <w:szCs w:val="30"/>
        </w:rPr>
        <mc:AlternateContent>
          <mc:Choice Requires="wps">
            <w:drawing>
              <wp:anchor distT="0" distB="0" distL="114300" distR="114300" simplePos="0" relativeHeight="251659264" behindDoc="0" locked="0" layoutInCell="1" allowOverlap="1">
                <wp:simplePos x="0" y="0"/>
                <wp:positionH relativeFrom="column">
                  <wp:posOffset>2420620</wp:posOffset>
                </wp:positionH>
                <wp:positionV relativeFrom="paragraph">
                  <wp:posOffset>9101455</wp:posOffset>
                </wp:positionV>
                <wp:extent cx="4618990" cy="250825"/>
                <wp:effectExtent l="4445" t="4445" r="5715" b="11430"/>
                <wp:wrapNone/>
                <wp:docPr id="7" name="文本框 7"/>
                <wp:cNvGraphicFramePr/>
                <a:graphic xmlns:a="http://schemas.openxmlformats.org/drawingml/2006/main">
                  <a:graphicData uri="http://schemas.microsoft.com/office/word/2010/wordprocessingShape">
                    <wps:wsp>
                      <wps:cNvSpPr txBox="1"/>
                      <wps:spPr>
                        <a:xfrm>
                          <a:off x="0" y="0"/>
                          <a:ext cx="4618990" cy="250825"/>
                        </a:xfrm>
                        <a:prstGeom prst="rect">
                          <a:avLst/>
                        </a:prstGeom>
                        <a:noFill/>
                        <a:ln w="6350" cap="flat" cmpd="sng">
                          <a:solidFill>
                            <a:srgbClr val="000000"/>
                          </a:solidFill>
                          <a:prstDash val="solid"/>
                          <a:round/>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190.6pt;margin-top:716.65pt;height:19.75pt;width:363.7pt;z-index:251659264;mso-width-relative:page;mso-height-relative:page;" filled="f" stroked="t" coordsize="21600,21600" o:gfxdata="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Ha9wZ3AAAAA4BAAAPAAAAAAAAAAEAIAAAACIA&#10;AABkcnMvZG93bnJldi54bWxQSwECFAAUAAAACACHTuJA4GUTfAUCAAANBAAADgAAAAAAAAABACAA&#10;AAArAQAAZHJzL2Uyb0RvYy54bWxQSwUGAAAAAAYABgBZAQAAogUAAAAA&#10;">
                <v:fill on="f" focussize="0,0"/>
                <v:stroke weight="0.5pt" color="#000000" joinstyle="round"/>
                <v:imagedata o:title=""/>
                <o:lock v:ext="edit" aspectratio="f"/>
                <v:textbox>
                  <w:txbxContent>
                    <w:p/>
                  </w:txbxContent>
                </v:textbox>
              </v:shape>
            </w:pict>
          </mc:Fallback>
        </mc:AlternateContent>
      </w:r>
      <w:r>
        <w:rPr>
          <w:sz w:val="30"/>
          <w:szCs w:val="30"/>
        </w:rPr>
        <mc:AlternateContent>
          <mc:Choice Requires="wps">
            <w:drawing>
              <wp:anchor distT="0" distB="0" distL="114300" distR="114300" simplePos="0" relativeHeight="251658240" behindDoc="0" locked="0" layoutInCell="1" allowOverlap="1">
                <wp:simplePos x="0" y="0"/>
                <wp:positionH relativeFrom="column">
                  <wp:posOffset>2268220</wp:posOffset>
                </wp:positionH>
                <wp:positionV relativeFrom="paragraph">
                  <wp:posOffset>8949055</wp:posOffset>
                </wp:positionV>
                <wp:extent cx="4618990" cy="250825"/>
                <wp:effectExtent l="4445" t="4445" r="5715" b="11430"/>
                <wp:wrapNone/>
                <wp:docPr id="2" name="文本框 2"/>
                <wp:cNvGraphicFramePr/>
                <a:graphic xmlns:a="http://schemas.openxmlformats.org/drawingml/2006/main">
                  <a:graphicData uri="http://schemas.microsoft.com/office/word/2010/wordprocessingShape">
                    <wps:wsp>
                      <wps:cNvSpPr txBox="1"/>
                      <wps:spPr>
                        <a:xfrm>
                          <a:off x="0" y="0"/>
                          <a:ext cx="4618990" cy="250825"/>
                        </a:xfrm>
                        <a:prstGeom prst="rect">
                          <a:avLst/>
                        </a:prstGeom>
                        <a:noFill/>
                        <a:ln w="6350" cap="flat" cmpd="sng">
                          <a:solidFill>
                            <a:srgbClr val="000000"/>
                          </a:solidFill>
                          <a:prstDash val="solid"/>
                          <a:round/>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178.6pt;margin-top:704.65pt;height:19.75pt;width:363.7pt;z-index:251658240;mso-width-relative:page;mso-height-relative:page;" filled="f" stroked="t" coordsize="21600,21600" o:gfxdata="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vZiR73QAAAA4BAAAPAAAAAAAAAAEAIAAAACIA&#10;AABkcnMvZG93bnJldi54bWxQSwECFAAUAAAACACHTuJA74fDkwQCAAANBAAADgAAAAAAAAABACAA&#10;AAAsAQAAZHJzL2Uyb0RvYy54bWxQSwUGAAAAAAYABgBZAQAAogUAAAAA&#10;">
                <v:fill on="f" focussize="0,0"/>
                <v:stroke weight="0.5pt" color="#000000" joinstyle="round"/>
                <v:imagedata o:title=""/>
                <o:lock v:ext="edit" aspectratio="f"/>
                <v:textbox>
                  <w:txbxContent>
                    <w:p/>
                  </w:txbxContent>
                </v:textbox>
              </v:shape>
            </w:pict>
          </mc:Fallback>
        </mc:AlternateContent>
      </w:r>
    </w:p>
    <w:p/>
    <w:sectPr>
      <w:headerReference r:id="rId3" w:type="default"/>
      <w:footerReference r:id="rId5" w:type="default"/>
      <w:headerReference r:id="rId4" w:type="even"/>
      <w:footerReference r:id="rId6" w:type="even"/>
      <w:pgSz w:w="11906" w:h="16838"/>
      <w:pgMar w:top="1984" w:right="1616" w:bottom="1814" w:left="1616" w:header="851" w:footer="1474" w:gutter="0"/>
      <w:pgBorders>
        <w:top w:val="none" w:sz="0" w:space="0"/>
        <w:left w:val="none" w:sz="0" w:space="0"/>
        <w:bottom w:val="none" w:sz="0" w:space="0"/>
        <w:right w:val="none" w:sz="0" w:space="0"/>
      </w:pgBorders>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tabs>
        <w:tab w:val="left" w:pos="1895"/>
        <w:tab w:val="center" w:pos="6863"/>
      </w:tabs>
      <w:jc w:val="lef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eastAsia="方正仿宋_GBK"/>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5"/>
                      <w:rPr>
                        <w:rFonts w:hint="eastAsia" w:eastAsia="方正仿宋_GBK"/>
                        <w:lang w:eastAsia="zh-CN"/>
                      </w:rPr>
                    </w:pPr>
                  </w:p>
                </w:txbxContent>
              </v:textbox>
            </v:shape>
          </w:pict>
        </mc:Fallback>
      </mc:AlternateContent>
    </w:r>
    <w:r>
      <w:rPr>
        <w:rFonts w:hint="eastAsia"/>
        <w:lang w:eastAsia="zh-CN"/>
      </w:rPr>
      <w:tab/>
    </w:r>
    <w:r>
      <w:rPr>
        <w:rFonts w:hint="eastAsia"/>
        <w:lang w:eastAsia="zh-CN"/>
      </w:rPr>
      <w:tab/>
    </w: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69062D"/>
    <w:rsid w:val="421F4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jc w:val="both"/>
      <w:textAlignment w:val="center"/>
    </w:pPr>
    <w:rPr>
      <w:rFonts w:ascii="Times New Roman" w:hAnsi="Times New Roman" w:eastAsia="方正仿宋_GBK" w:cs="Times New Roman"/>
      <w:kern w:val="2"/>
      <w:sz w:val="30"/>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2"/>
    <w:unhideWhenUsed/>
    <w:qFormat/>
    <w:uiPriority w:val="99"/>
    <w:pPr>
      <w:spacing w:after="120"/>
      <w:ind w:left="420" w:leftChars="200"/>
    </w:pPr>
  </w:style>
  <w:style w:type="paragraph" w:styleId="4">
    <w:name w:val="footer"/>
    <w:basedOn w:val="1"/>
    <w:unhideWhenUsed/>
    <w:qFormat/>
    <w:uiPriority w:val="99"/>
    <w:pPr>
      <w:tabs>
        <w:tab w:val="center" w:pos="4153"/>
        <w:tab w:val="right" w:pos="8306"/>
      </w:tabs>
      <w:snapToGrid w:val="0"/>
      <w:spacing w:line="240" w:lineRule="atLeast"/>
      <w:jc w:val="left"/>
    </w:pPr>
    <w:rPr>
      <w:rFonts w:ascii="Calibri" w:hAnsi="Calibri"/>
      <w:spacing w:val="6"/>
      <w:kern w:val="0"/>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spacing w:line="240" w:lineRule="atLeast"/>
      <w:jc w:val="center"/>
    </w:pPr>
    <w:rPr>
      <w:rFonts w:ascii="Calibri" w:hAnsi="Calibri"/>
      <w:spacing w:val="6"/>
      <w:kern w:val="0"/>
      <w:sz w:val="18"/>
      <w:szCs w:val="18"/>
    </w:rPr>
  </w:style>
  <w:style w:type="character" w:customStyle="1" w:styleId="8">
    <w:name w:val="font91"/>
    <w:basedOn w:val="7"/>
    <w:qFormat/>
    <w:uiPriority w:val="0"/>
    <w:rPr>
      <w:rFonts w:ascii="方正楷体_GBK" w:hAnsi="方正楷体_GBK" w:eastAsia="方正楷体_GBK" w:cs="方正楷体_GBK"/>
      <w:b/>
      <w:color w:val="000000"/>
      <w:sz w:val="28"/>
      <w:szCs w:val="28"/>
      <w:u w:val="none"/>
    </w:rPr>
  </w:style>
  <w:style w:type="character" w:customStyle="1" w:styleId="9">
    <w:name w:val="font81"/>
    <w:basedOn w:val="7"/>
    <w:qFormat/>
    <w:uiPriority w:val="0"/>
    <w:rPr>
      <w:rFonts w:hint="default" w:ascii="Times New Roman" w:hAnsi="Times New Roman" w:cs="Times New Roman"/>
      <w:b/>
      <w:color w:val="000000"/>
      <w:sz w:val="28"/>
      <w:szCs w:val="28"/>
      <w:u w:val="none"/>
    </w:rPr>
  </w:style>
  <w:style w:type="character" w:customStyle="1" w:styleId="10">
    <w:name w:val="font21"/>
    <w:basedOn w:val="7"/>
    <w:qFormat/>
    <w:uiPriority w:val="0"/>
    <w:rPr>
      <w:rFonts w:ascii="方正黑体_GBK" w:hAnsi="方正黑体_GBK" w:eastAsia="方正黑体_GBK" w:cs="方正黑体_GBK"/>
      <w:color w:val="000000"/>
      <w:sz w:val="28"/>
      <w:szCs w:val="28"/>
      <w:u w:val="none"/>
    </w:rPr>
  </w:style>
  <w:style w:type="character" w:customStyle="1" w:styleId="11">
    <w:name w:val="font51"/>
    <w:basedOn w:val="7"/>
    <w:qFormat/>
    <w:uiPriority w:val="0"/>
    <w:rPr>
      <w:rFonts w:hint="default" w:ascii="Times New Roman" w:hAnsi="Times New Roman" w:cs="Times New Roman"/>
      <w:color w:val="000000"/>
      <w:sz w:val="24"/>
      <w:szCs w:val="24"/>
      <w:u w:val="none"/>
    </w:rPr>
  </w:style>
  <w:style w:type="character" w:customStyle="1" w:styleId="12">
    <w:name w:val="font41"/>
    <w:basedOn w:val="7"/>
    <w:qFormat/>
    <w:uiPriority w:val="0"/>
    <w:rPr>
      <w:rFonts w:hint="eastAsia" w:ascii="方正仿宋_GBK" w:hAnsi="方正仿宋_GBK" w:eastAsia="方正仿宋_GBK" w:cs="方正仿宋_GBK"/>
      <w:color w:val="000000"/>
      <w:sz w:val="24"/>
      <w:szCs w:val="24"/>
      <w:u w:val="none"/>
    </w:rPr>
  </w:style>
  <w:style w:type="character" w:customStyle="1" w:styleId="13">
    <w:name w:val="font131"/>
    <w:basedOn w:val="7"/>
    <w:qFormat/>
    <w:uiPriority w:val="0"/>
    <w:rPr>
      <w:rFonts w:hint="eastAsia" w:ascii="方正仿宋_GBK" w:hAnsi="方正仿宋_GBK" w:eastAsia="方正仿宋_GBK" w:cs="方正仿宋_GBK"/>
      <w:color w:val="FF0000"/>
      <w:sz w:val="24"/>
      <w:szCs w:val="24"/>
      <w:u w:val="single"/>
    </w:rPr>
  </w:style>
  <w:style w:type="character" w:customStyle="1" w:styleId="14">
    <w:name w:val="font101"/>
    <w:basedOn w:val="7"/>
    <w:qFormat/>
    <w:uiPriority w:val="0"/>
    <w:rPr>
      <w:rFonts w:hint="default" w:ascii="Times New Roman" w:hAnsi="Times New Roman" w:cs="Times New Roman"/>
      <w:color w:val="FF0000"/>
      <w:sz w:val="24"/>
      <w:szCs w:val="24"/>
      <w:u w:val="single"/>
    </w:rPr>
  </w:style>
  <w:style w:type="character" w:customStyle="1" w:styleId="15">
    <w:name w:val="font31"/>
    <w:basedOn w:val="7"/>
    <w:qFormat/>
    <w:uiPriority w:val="0"/>
    <w:rPr>
      <w:rFonts w:hint="eastAsia" w:ascii="宋体" w:hAnsi="宋体" w:eastAsia="宋体" w:cs="宋体"/>
      <w:color w:val="FF0000"/>
      <w:sz w:val="24"/>
      <w:szCs w:val="24"/>
      <w:u w:val="single"/>
    </w:rPr>
  </w:style>
  <w:style w:type="character" w:customStyle="1" w:styleId="16">
    <w:name w:val="font11"/>
    <w:basedOn w:val="7"/>
    <w:qFormat/>
    <w:uiPriority w:val="0"/>
    <w:rPr>
      <w:rFonts w:hint="eastAsia" w:ascii="方正仿宋_GBK" w:hAnsi="方正仿宋_GBK" w:eastAsia="方正仿宋_GBK" w:cs="方正仿宋_GBK"/>
      <w:color w:val="FF0000"/>
      <w:sz w:val="24"/>
      <w:szCs w:val="24"/>
      <w:u w:val="single"/>
    </w:rPr>
  </w:style>
  <w:style w:type="character" w:customStyle="1" w:styleId="17">
    <w:name w:val="font7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2020-10-18T02:26:00Z</dcterms:created>
  <dc:creator>xmt</dc:creator>
  <cp:lastModifiedBy>goveditor</cp:lastModifiedBy>
  <dcterms:modified xsi:type="dcterms:W3CDTF">2020-10-18T02:54:38Z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